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32" w:rsidRDefault="00517CD2" w:rsidP="00517CD2">
      <w:pPr>
        <w:shd w:val="clear" w:color="auto" w:fill="FFFFFF"/>
        <w:spacing w:before="180" w:after="0" w:line="240" w:lineRule="auto"/>
        <w:outlineLvl w:val="1"/>
        <w:rPr>
          <w:rFonts w:ascii="Georgia" w:eastAsia="Times New Roman" w:hAnsi="Georgia" w:cs="Arial"/>
          <w:b/>
          <w:sz w:val="28"/>
          <w:szCs w:val="28"/>
          <w:u w:val="single"/>
        </w:rPr>
      </w:pPr>
      <w:proofErr w:type="gramStart"/>
      <w:r w:rsidRPr="00676509">
        <w:rPr>
          <w:rFonts w:ascii="Georgia" w:eastAsia="Times New Roman" w:hAnsi="Georgia" w:cs="Arial"/>
          <w:b/>
          <w:sz w:val="28"/>
          <w:szCs w:val="28"/>
          <w:u w:val="single"/>
        </w:rPr>
        <w:t>201</w:t>
      </w:r>
      <w:r w:rsidR="003C0DA0">
        <w:rPr>
          <w:rFonts w:ascii="Georgia" w:eastAsia="Times New Roman" w:hAnsi="Georgia" w:cs="Arial"/>
          <w:b/>
          <w:sz w:val="28"/>
          <w:szCs w:val="28"/>
          <w:u w:val="single"/>
        </w:rPr>
        <w:t xml:space="preserve">7 </w:t>
      </w:r>
      <w:r w:rsidRPr="00676509">
        <w:rPr>
          <w:rFonts w:ascii="Georgia" w:eastAsia="Times New Roman" w:hAnsi="Georgia" w:cs="Arial"/>
          <w:b/>
          <w:sz w:val="28"/>
          <w:szCs w:val="28"/>
          <w:u w:val="single"/>
        </w:rPr>
        <w:t xml:space="preserve"> VA</w:t>
      </w:r>
      <w:proofErr w:type="gramEnd"/>
      <w:r w:rsidRPr="00676509">
        <w:rPr>
          <w:rFonts w:ascii="Georgia" w:eastAsia="Times New Roman" w:hAnsi="Georgia" w:cs="Arial"/>
          <w:b/>
          <w:sz w:val="28"/>
          <w:szCs w:val="28"/>
          <w:u w:val="single"/>
        </w:rPr>
        <w:t xml:space="preserve"> </w:t>
      </w:r>
      <w:r w:rsidR="00861032" w:rsidRPr="00676509">
        <w:rPr>
          <w:rFonts w:ascii="Georgia" w:eastAsia="Times New Roman" w:hAnsi="Georgia" w:cs="Arial"/>
          <w:b/>
          <w:sz w:val="28"/>
          <w:szCs w:val="28"/>
          <w:u w:val="single"/>
        </w:rPr>
        <w:t xml:space="preserve">Health Care </w:t>
      </w:r>
      <w:r w:rsidRPr="00676509">
        <w:rPr>
          <w:rFonts w:ascii="Georgia" w:eastAsia="Times New Roman" w:hAnsi="Georgia" w:cs="Arial"/>
          <w:b/>
          <w:sz w:val="28"/>
          <w:szCs w:val="28"/>
          <w:u w:val="single"/>
        </w:rPr>
        <w:t xml:space="preserve">National and </w:t>
      </w:r>
      <w:r w:rsidR="00E20789" w:rsidRPr="00676509">
        <w:rPr>
          <w:rFonts w:ascii="Georgia" w:eastAsia="Times New Roman" w:hAnsi="Georgia" w:cs="Arial"/>
          <w:b/>
          <w:sz w:val="28"/>
          <w:szCs w:val="28"/>
          <w:u w:val="single"/>
        </w:rPr>
        <w:t xml:space="preserve">Gillespie County </w:t>
      </w:r>
      <w:r w:rsidR="00861032" w:rsidRPr="00676509">
        <w:rPr>
          <w:rFonts w:ascii="Georgia" w:eastAsia="Times New Roman" w:hAnsi="Georgia" w:cs="Arial"/>
          <w:b/>
          <w:sz w:val="28"/>
          <w:szCs w:val="28"/>
          <w:u w:val="single"/>
        </w:rPr>
        <w:t>Income T</w:t>
      </w:r>
      <w:r w:rsidRPr="00676509">
        <w:rPr>
          <w:rFonts w:ascii="Georgia" w:eastAsia="Times New Roman" w:hAnsi="Georgia" w:cs="Arial"/>
          <w:b/>
          <w:sz w:val="28"/>
          <w:szCs w:val="28"/>
          <w:u w:val="single"/>
        </w:rPr>
        <w:t>hresholds</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345"/>
        <w:gridCol w:w="1163"/>
        <w:gridCol w:w="23"/>
        <w:gridCol w:w="952"/>
        <w:gridCol w:w="38"/>
        <w:gridCol w:w="984"/>
        <w:gridCol w:w="6"/>
        <w:gridCol w:w="3170"/>
      </w:tblGrid>
      <w:tr w:rsidR="000647CE" w:rsidRPr="003C0DA0" w:rsidTr="00002DCB">
        <w:trPr>
          <w:gridAfter w:val="1"/>
          <w:wAfter w:w="3170" w:type="dxa"/>
          <w:jc w:val="center"/>
        </w:trPr>
        <w:tc>
          <w:tcPr>
            <w:tcW w:w="5511" w:type="dxa"/>
            <w:gridSpan w:val="7"/>
          </w:tcPr>
          <w:p w:rsidR="000647CE" w:rsidRPr="003C0DA0" w:rsidRDefault="00002DCB" w:rsidP="003C0DA0">
            <w:pPr>
              <w:spacing w:before="300" w:after="0" w:line="240" w:lineRule="auto"/>
              <w:outlineLvl w:val="1"/>
              <w:rPr>
                <w:rFonts w:ascii="Georgia" w:eastAsia="Times New Roman" w:hAnsi="Georgia" w:cs="Arial"/>
                <w:b/>
                <w:sz w:val="24"/>
                <w:szCs w:val="24"/>
              </w:rPr>
            </w:pPr>
            <w:r>
              <w:rPr>
                <w:rFonts w:ascii="Georgia" w:eastAsia="Times New Roman" w:hAnsi="Georgia" w:cs="Arial"/>
                <w:b/>
                <w:sz w:val="24"/>
                <w:szCs w:val="24"/>
              </w:rPr>
              <w:t xml:space="preserve">            BASED ON INCOME YEAR 2016</w:t>
            </w:r>
          </w:p>
        </w:tc>
      </w:tr>
      <w:tr w:rsidR="000647CE" w:rsidRPr="003C0DA0" w:rsidTr="00A36F1B">
        <w:trPr>
          <w:jc w:val="center"/>
        </w:trPr>
        <w:tc>
          <w:tcPr>
            <w:tcW w:w="2345" w:type="dxa"/>
            <w:vAlign w:val="center"/>
            <w:hideMark/>
          </w:tcPr>
          <w:p w:rsidR="000647CE" w:rsidRPr="003C0DA0" w:rsidRDefault="000647CE" w:rsidP="003C0DA0">
            <w:pPr>
              <w:spacing w:after="0" w:line="240" w:lineRule="auto"/>
              <w:jc w:val="center"/>
              <w:rPr>
                <w:rFonts w:ascii="Arial" w:eastAsia="Times New Roman" w:hAnsi="Arial" w:cs="Arial"/>
                <w:b/>
                <w:bCs/>
                <w:color w:val="010C29"/>
                <w:sz w:val="18"/>
                <w:szCs w:val="18"/>
              </w:rPr>
            </w:pPr>
            <w:r w:rsidRPr="003C0DA0">
              <w:rPr>
                <w:rFonts w:ascii="Arial" w:eastAsia="Times New Roman" w:hAnsi="Arial" w:cs="Arial"/>
                <w:b/>
                <w:bCs/>
                <w:color w:val="010C29"/>
                <w:sz w:val="18"/>
                <w:szCs w:val="18"/>
              </w:rPr>
              <w:t>Veteran with:</w:t>
            </w:r>
          </w:p>
        </w:tc>
        <w:tc>
          <w:tcPr>
            <w:tcW w:w="1163" w:type="dxa"/>
          </w:tcPr>
          <w:p w:rsidR="000647CE" w:rsidRPr="003C0DA0" w:rsidRDefault="000647CE" w:rsidP="00F653A9">
            <w:pPr>
              <w:spacing w:after="0" w:line="240" w:lineRule="auto"/>
              <w:jc w:val="center"/>
              <w:rPr>
                <w:rFonts w:ascii="Arial" w:eastAsia="Times New Roman" w:hAnsi="Arial" w:cs="Arial"/>
                <w:b/>
                <w:bCs/>
                <w:color w:val="010C29"/>
                <w:sz w:val="16"/>
                <w:szCs w:val="16"/>
              </w:rPr>
            </w:pPr>
            <w:r w:rsidRPr="003C0DA0">
              <w:rPr>
                <w:rFonts w:ascii="Arial" w:eastAsia="Times New Roman" w:hAnsi="Arial" w:cs="Arial"/>
                <w:b/>
                <w:bCs/>
                <w:color w:val="010C29"/>
                <w:sz w:val="16"/>
                <w:szCs w:val="16"/>
              </w:rPr>
              <w:t>VA Priority Group 8</w:t>
            </w:r>
            <w:r w:rsidRPr="003C0DA0">
              <w:rPr>
                <w:rFonts w:ascii="Arial" w:eastAsia="Times New Roman" w:hAnsi="Arial" w:cs="Arial"/>
                <w:b/>
                <w:bCs/>
                <w:color w:val="010C29"/>
                <w:sz w:val="16"/>
                <w:szCs w:val="16"/>
              </w:rPr>
              <w:br/>
            </w:r>
            <w:r w:rsidRPr="00F653A9">
              <w:rPr>
                <w:rFonts w:ascii="Arial" w:eastAsia="Times New Roman" w:hAnsi="Arial" w:cs="Arial"/>
                <w:b/>
                <w:bCs/>
                <w:color w:val="010C29"/>
                <w:sz w:val="16"/>
                <w:szCs w:val="16"/>
              </w:rPr>
              <w:t>Gillespie County, TX</w:t>
            </w:r>
          </w:p>
        </w:tc>
        <w:tc>
          <w:tcPr>
            <w:tcW w:w="975" w:type="dxa"/>
            <w:gridSpan w:val="2"/>
            <w:vAlign w:val="center"/>
            <w:hideMark/>
          </w:tcPr>
          <w:p w:rsidR="000647CE" w:rsidRPr="003C0DA0" w:rsidRDefault="000647CE" w:rsidP="00F653A9">
            <w:pPr>
              <w:spacing w:after="0" w:line="240" w:lineRule="auto"/>
              <w:jc w:val="center"/>
              <w:rPr>
                <w:rFonts w:ascii="Arial" w:eastAsia="Times New Roman" w:hAnsi="Arial" w:cs="Arial"/>
                <w:b/>
                <w:bCs/>
                <w:color w:val="010C29"/>
                <w:sz w:val="16"/>
                <w:szCs w:val="16"/>
              </w:rPr>
            </w:pPr>
            <w:r w:rsidRPr="003C0DA0">
              <w:rPr>
                <w:rFonts w:ascii="Arial" w:eastAsia="Times New Roman" w:hAnsi="Arial" w:cs="Arial"/>
                <w:b/>
                <w:bCs/>
                <w:color w:val="010C29"/>
                <w:sz w:val="16"/>
                <w:szCs w:val="16"/>
              </w:rPr>
              <w:t>VA Priority Group 8</w:t>
            </w:r>
            <w:r w:rsidRPr="003C0DA0">
              <w:rPr>
                <w:rFonts w:ascii="Arial" w:eastAsia="Times New Roman" w:hAnsi="Arial" w:cs="Arial"/>
                <w:b/>
                <w:bCs/>
                <w:color w:val="010C29"/>
                <w:sz w:val="16"/>
                <w:szCs w:val="16"/>
              </w:rPr>
              <w:br/>
            </w:r>
          </w:p>
        </w:tc>
        <w:tc>
          <w:tcPr>
            <w:tcW w:w="1022" w:type="dxa"/>
            <w:gridSpan w:val="2"/>
            <w:vAlign w:val="center"/>
          </w:tcPr>
          <w:p w:rsidR="000647CE" w:rsidRPr="003C0DA0" w:rsidRDefault="000647CE" w:rsidP="00F653A9">
            <w:pPr>
              <w:spacing w:after="0" w:line="240" w:lineRule="auto"/>
              <w:jc w:val="center"/>
              <w:rPr>
                <w:rFonts w:ascii="Arial" w:eastAsia="Times New Roman" w:hAnsi="Arial" w:cs="Arial"/>
                <w:b/>
                <w:bCs/>
                <w:color w:val="010C29"/>
                <w:sz w:val="16"/>
                <w:szCs w:val="16"/>
              </w:rPr>
            </w:pPr>
            <w:r w:rsidRPr="003C0DA0">
              <w:rPr>
                <w:rFonts w:ascii="Arial" w:eastAsia="Times New Roman" w:hAnsi="Arial" w:cs="Arial"/>
                <w:b/>
                <w:bCs/>
                <w:color w:val="010C29"/>
                <w:sz w:val="16"/>
                <w:szCs w:val="16"/>
              </w:rPr>
              <w:t xml:space="preserve">VA </w:t>
            </w:r>
            <w:r w:rsidRPr="00F653A9">
              <w:rPr>
                <w:rFonts w:ascii="Arial" w:eastAsia="Times New Roman" w:hAnsi="Arial" w:cs="Arial"/>
                <w:b/>
                <w:bCs/>
                <w:color w:val="010C29"/>
                <w:sz w:val="16"/>
                <w:szCs w:val="16"/>
              </w:rPr>
              <w:t>Priority Group 7</w:t>
            </w:r>
            <w:r>
              <w:rPr>
                <w:rFonts w:ascii="Arial" w:eastAsia="Times New Roman" w:hAnsi="Arial" w:cs="Arial"/>
                <w:b/>
                <w:bCs/>
                <w:color w:val="010C29"/>
                <w:sz w:val="16"/>
                <w:szCs w:val="16"/>
              </w:rPr>
              <w:t xml:space="preserve">       Nat. Income</w:t>
            </w:r>
          </w:p>
        </w:tc>
        <w:tc>
          <w:tcPr>
            <w:tcW w:w="3176" w:type="dxa"/>
            <w:gridSpan w:val="2"/>
            <w:vAlign w:val="center"/>
            <w:hideMark/>
          </w:tcPr>
          <w:p w:rsidR="000647CE" w:rsidRPr="003C0DA0" w:rsidRDefault="000647CE" w:rsidP="00F653A9">
            <w:pPr>
              <w:spacing w:after="0" w:line="240" w:lineRule="auto"/>
              <w:jc w:val="center"/>
              <w:rPr>
                <w:rFonts w:ascii="Arial" w:eastAsia="Times New Roman" w:hAnsi="Arial" w:cs="Arial"/>
                <w:b/>
                <w:bCs/>
                <w:color w:val="010C29"/>
                <w:sz w:val="18"/>
                <w:szCs w:val="18"/>
              </w:rPr>
            </w:pPr>
            <w:r w:rsidRPr="003C0DA0">
              <w:rPr>
                <w:rFonts w:ascii="Arial" w:eastAsia="Times New Roman" w:hAnsi="Arial" w:cs="Arial"/>
                <w:b/>
                <w:bCs/>
                <w:color w:val="010C29"/>
                <w:sz w:val="18"/>
                <w:szCs w:val="18"/>
              </w:rPr>
              <w:t>Medical Expense Deductible</w:t>
            </w:r>
          </w:p>
        </w:tc>
      </w:tr>
      <w:tr w:rsidR="000647CE" w:rsidRPr="003C0DA0" w:rsidTr="00A36F1B">
        <w:trPr>
          <w:jc w:val="center"/>
        </w:trPr>
        <w:tc>
          <w:tcPr>
            <w:tcW w:w="2345" w:type="dxa"/>
            <w:vAlign w:val="center"/>
            <w:hideMark/>
          </w:tcPr>
          <w:p w:rsidR="000647CE" w:rsidRPr="003C0DA0" w:rsidRDefault="000647CE" w:rsidP="003C0DA0">
            <w:pPr>
              <w:spacing w:after="0" w:line="240" w:lineRule="auto"/>
              <w:rPr>
                <w:rFonts w:ascii="Arial" w:eastAsia="Times New Roman" w:hAnsi="Arial" w:cs="Arial"/>
                <w:color w:val="010C29"/>
                <w:sz w:val="18"/>
                <w:szCs w:val="18"/>
              </w:rPr>
            </w:pPr>
            <w:r w:rsidRPr="003C0DA0">
              <w:rPr>
                <w:rFonts w:ascii="Arial" w:eastAsia="Times New Roman" w:hAnsi="Arial" w:cs="Arial"/>
                <w:color w:val="010C29"/>
                <w:sz w:val="18"/>
                <w:szCs w:val="18"/>
              </w:rPr>
              <w:t>0 dependents</w:t>
            </w:r>
          </w:p>
        </w:tc>
        <w:tc>
          <w:tcPr>
            <w:tcW w:w="1163" w:type="dxa"/>
          </w:tcPr>
          <w:p w:rsidR="000647CE" w:rsidRPr="003C0DA0" w:rsidRDefault="000647CE" w:rsidP="00F653A9">
            <w:pPr>
              <w:spacing w:after="0" w:line="240" w:lineRule="auto"/>
              <w:jc w:val="center"/>
              <w:rPr>
                <w:rFonts w:ascii="Arial" w:eastAsia="Times New Roman" w:hAnsi="Arial" w:cs="Arial"/>
                <w:color w:val="010C29"/>
                <w:sz w:val="18"/>
                <w:szCs w:val="18"/>
              </w:rPr>
            </w:pPr>
            <w:r>
              <w:rPr>
                <w:rFonts w:ascii="Arial" w:eastAsia="Times New Roman" w:hAnsi="Arial" w:cs="Arial"/>
                <w:color w:val="010C29"/>
                <w:sz w:val="18"/>
                <w:szCs w:val="18"/>
              </w:rPr>
              <w:t xml:space="preserve">$41,415  </w:t>
            </w:r>
            <w:r>
              <w:rPr>
                <w:rFonts w:ascii="Arial" w:eastAsia="Times New Roman" w:hAnsi="Arial" w:cs="Arial"/>
                <w:color w:val="010C29"/>
                <w:sz w:val="18"/>
                <w:szCs w:val="18"/>
              </w:rPr>
              <w:t xml:space="preserve">   </w:t>
            </w:r>
            <w:r>
              <w:rPr>
                <w:rFonts w:ascii="Arial" w:eastAsia="Times New Roman" w:hAnsi="Arial" w:cs="Arial"/>
                <w:color w:val="010C29"/>
                <w:sz w:val="18"/>
                <w:szCs w:val="18"/>
              </w:rPr>
              <w:t xml:space="preserve">  or less</w:t>
            </w:r>
          </w:p>
        </w:tc>
        <w:tc>
          <w:tcPr>
            <w:tcW w:w="975" w:type="dxa"/>
            <w:gridSpan w:val="2"/>
            <w:vAlign w:val="center"/>
            <w:hideMark/>
          </w:tcPr>
          <w:p w:rsidR="000647CE" w:rsidRPr="003C0DA0" w:rsidRDefault="000647CE" w:rsidP="00F653A9">
            <w:pPr>
              <w:spacing w:after="0" w:line="240" w:lineRule="auto"/>
              <w:jc w:val="center"/>
              <w:rPr>
                <w:rFonts w:ascii="Arial" w:eastAsia="Times New Roman" w:hAnsi="Arial" w:cs="Arial"/>
                <w:color w:val="010C29"/>
                <w:sz w:val="18"/>
                <w:szCs w:val="18"/>
              </w:rPr>
            </w:pPr>
            <w:r w:rsidRPr="003C0DA0">
              <w:rPr>
                <w:rFonts w:ascii="Arial" w:eastAsia="Times New Roman" w:hAnsi="Arial" w:cs="Arial"/>
                <w:color w:val="010C29"/>
                <w:sz w:val="18"/>
                <w:szCs w:val="18"/>
              </w:rPr>
              <w:t xml:space="preserve">$35,281 </w:t>
            </w:r>
            <w:r>
              <w:rPr>
                <w:rFonts w:ascii="Arial" w:eastAsia="Times New Roman" w:hAnsi="Arial" w:cs="Arial"/>
                <w:color w:val="010C29"/>
                <w:sz w:val="18"/>
                <w:szCs w:val="18"/>
              </w:rPr>
              <w:t xml:space="preserve">  </w:t>
            </w:r>
            <w:r w:rsidRPr="003C0DA0">
              <w:rPr>
                <w:rFonts w:ascii="Arial" w:eastAsia="Times New Roman" w:hAnsi="Arial" w:cs="Arial"/>
                <w:color w:val="010C29"/>
                <w:sz w:val="18"/>
                <w:szCs w:val="18"/>
              </w:rPr>
              <w:t>or less</w:t>
            </w:r>
          </w:p>
        </w:tc>
        <w:tc>
          <w:tcPr>
            <w:tcW w:w="1022" w:type="dxa"/>
            <w:gridSpan w:val="2"/>
            <w:vAlign w:val="center"/>
          </w:tcPr>
          <w:p w:rsidR="000647CE" w:rsidRPr="003C0DA0" w:rsidRDefault="000647CE" w:rsidP="00F653A9">
            <w:pPr>
              <w:spacing w:after="0" w:line="240" w:lineRule="auto"/>
              <w:jc w:val="center"/>
              <w:rPr>
                <w:rFonts w:ascii="Arial" w:eastAsia="Times New Roman" w:hAnsi="Arial" w:cs="Arial"/>
                <w:color w:val="010C29"/>
                <w:sz w:val="18"/>
                <w:szCs w:val="18"/>
              </w:rPr>
            </w:pPr>
            <w:r w:rsidRPr="003C0DA0">
              <w:rPr>
                <w:rFonts w:ascii="Arial" w:eastAsia="Times New Roman" w:hAnsi="Arial" w:cs="Arial"/>
                <w:color w:val="010C29"/>
                <w:sz w:val="18"/>
                <w:szCs w:val="18"/>
              </w:rPr>
              <w:t>$32,074</w:t>
            </w:r>
            <w:r>
              <w:rPr>
                <w:rFonts w:ascii="Arial" w:eastAsia="Times New Roman" w:hAnsi="Arial" w:cs="Arial"/>
                <w:color w:val="010C29"/>
                <w:sz w:val="18"/>
                <w:szCs w:val="18"/>
              </w:rPr>
              <w:t xml:space="preserve">      </w:t>
            </w:r>
            <w:r w:rsidRPr="003C0DA0">
              <w:rPr>
                <w:rFonts w:ascii="Arial" w:eastAsia="Times New Roman" w:hAnsi="Arial" w:cs="Arial"/>
                <w:color w:val="010C29"/>
                <w:sz w:val="18"/>
                <w:szCs w:val="18"/>
              </w:rPr>
              <w:t xml:space="preserve"> or less</w:t>
            </w:r>
          </w:p>
        </w:tc>
        <w:tc>
          <w:tcPr>
            <w:tcW w:w="3176" w:type="dxa"/>
            <w:gridSpan w:val="2"/>
            <w:vAlign w:val="center"/>
            <w:hideMark/>
          </w:tcPr>
          <w:p w:rsidR="000647CE" w:rsidRPr="003C0DA0" w:rsidRDefault="000647CE" w:rsidP="00F653A9">
            <w:pPr>
              <w:spacing w:after="0" w:line="240" w:lineRule="auto"/>
              <w:jc w:val="center"/>
              <w:rPr>
                <w:rFonts w:ascii="Arial" w:eastAsia="Times New Roman" w:hAnsi="Arial" w:cs="Arial"/>
                <w:color w:val="010C29"/>
                <w:sz w:val="18"/>
                <w:szCs w:val="18"/>
              </w:rPr>
            </w:pPr>
            <w:r w:rsidRPr="003C0DA0">
              <w:rPr>
                <w:rFonts w:ascii="Arial" w:eastAsia="Times New Roman" w:hAnsi="Arial" w:cs="Arial"/>
                <w:color w:val="010C29"/>
                <w:sz w:val="18"/>
                <w:szCs w:val="18"/>
              </w:rPr>
              <w:t>$643</w:t>
            </w:r>
          </w:p>
        </w:tc>
      </w:tr>
      <w:tr w:rsidR="000647CE" w:rsidRPr="003C0DA0" w:rsidTr="000647CE">
        <w:trPr>
          <w:jc w:val="center"/>
        </w:trPr>
        <w:tc>
          <w:tcPr>
            <w:tcW w:w="2345" w:type="dxa"/>
            <w:vAlign w:val="center"/>
            <w:hideMark/>
          </w:tcPr>
          <w:p w:rsidR="000647CE" w:rsidRPr="003C0DA0" w:rsidRDefault="000647CE" w:rsidP="003C0DA0">
            <w:pPr>
              <w:spacing w:after="0" w:line="240" w:lineRule="auto"/>
              <w:rPr>
                <w:rFonts w:ascii="Arial" w:eastAsia="Times New Roman" w:hAnsi="Arial" w:cs="Arial"/>
                <w:color w:val="010C29"/>
                <w:sz w:val="18"/>
                <w:szCs w:val="18"/>
              </w:rPr>
            </w:pPr>
            <w:r w:rsidRPr="003C0DA0">
              <w:rPr>
                <w:rFonts w:ascii="Arial" w:eastAsia="Times New Roman" w:hAnsi="Arial" w:cs="Arial"/>
                <w:color w:val="010C29"/>
                <w:sz w:val="18"/>
                <w:szCs w:val="18"/>
              </w:rPr>
              <w:t>1 dependents</w:t>
            </w:r>
          </w:p>
        </w:tc>
        <w:tc>
          <w:tcPr>
            <w:tcW w:w="1163" w:type="dxa"/>
          </w:tcPr>
          <w:p w:rsidR="000647CE" w:rsidRPr="003C0DA0" w:rsidRDefault="000647CE" w:rsidP="00F653A9">
            <w:pPr>
              <w:spacing w:after="0" w:line="240" w:lineRule="auto"/>
              <w:jc w:val="center"/>
              <w:rPr>
                <w:rFonts w:ascii="Arial" w:eastAsia="Times New Roman" w:hAnsi="Arial" w:cs="Arial"/>
                <w:color w:val="010C29"/>
                <w:sz w:val="18"/>
                <w:szCs w:val="18"/>
              </w:rPr>
            </w:pPr>
            <w:r>
              <w:rPr>
                <w:rFonts w:ascii="Arial" w:eastAsia="Times New Roman" w:hAnsi="Arial" w:cs="Arial"/>
                <w:color w:val="010C29"/>
                <w:sz w:val="18"/>
                <w:szCs w:val="18"/>
              </w:rPr>
              <w:t xml:space="preserve">$47,300   </w:t>
            </w:r>
            <w:r>
              <w:rPr>
                <w:rFonts w:ascii="Arial" w:eastAsia="Times New Roman" w:hAnsi="Arial" w:cs="Arial"/>
                <w:color w:val="010C29"/>
                <w:sz w:val="18"/>
                <w:szCs w:val="18"/>
              </w:rPr>
              <w:t xml:space="preserve">    </w:t>
            </w:r>
            <w:r>
              <w:rPr>
                <w:rFonts w:ascii="Arial" w:eastAsia="Times New Roman" w:hAnsi="Arial" w:cs="Arial"/>
                <w:color w:val="010C29"/>
                <w:sz w:val="18"/>
                <w:szCs w:val="18"/>
              </w:rPr>
              <w:t xml:space="preserve"> or less</w:t>
            </w:r>
          </w:p>
        </w:tc>
        <w:tc>
          <w:tcPr>
            <w:tcW w:w="975" w:type="dxa"/>
            <w:gridSpan w:val="2"/>
            <w:vAlign w:val="center"/>
            <w:hideMark/>
          </w:tcPr>
          <w:p w:rsidR="000647CE" w:rsidRPr="003C0DA0" w:rsidRDefault="000647CE" w:rsidP="00F653A9">
            <w:pPr>
              <w:spacing w:after="0" w:line="240" w:lineRule="auto"/>
              <w:jc w:val="center"/>
              <w:rPr>
                <w:rFonts w:ascii="Arial" w:eastAsia="Times New Roman" w:hAnsi="Arial" w:cs="Arial"/>
                <w:color w:val="010C29"/>
                <w:sz w:val="18"/>
                <w:szCs w:val="18"/>
              </w:rPr>
            </w:pPr>
            <w:r w:rsidRPr="003C0DA0">
              <w:rPr>
                <w:rFonts w:ascii="Arial" w:eastAsia="Times New Roman" w:hAnsi="Arial" w:cs="Arial"/>
                <w:color w:val="010C29"/>
                <w:sz w:val="18"/>
                <w:szCs w:val="18"/>
              </w:rPr>
              <w:t xml:space="preserve">$42,338 </w:t>
            </w:r>
            <w:r>
              <w:rPr>
                <w:rFonts w:ascii="Arial" w:eastAsia="Times New Roman" w:hAnsi="Arial" w:cs="Arial"/>
                <w:color w:val="010C29"/>
                <w:sz w:val="18"/>
                <w:szCs w:val="18"/>
              </w:rPr>
              <w:t xml:space="preserve">  </w:t>
            </w:r>
            <w:r w:rsidRPr="003C0DA0">
              <w:rPr>
                <w:rFonts w:ascii="Arial" w:eastAsia="Times New Roman" w:hAnsi="Arial" w:cs="Arial"/>
                <w:color w:val="010C29"/>
                <w:sz w:val="18"/>
                <w:szCs w:val="18"/>
              </w:rPr>
              <w:t>or less</w:t>
            </w:r>
          </w:p>
        </w:tc>
        <w:tc>
          <w:tcPr>
            <w:tcW w:w="1022" w:type="dxa"/>
            <w:gridSpan w:val="2"/>
            <w:vAlign w:val="center"/>
          </w:tcPr>
          <w:p w:rsidR="000647CE" w:rsidRPr="003C0DA0" w:rsidRDefault="000647CE" w:rsidP="00F653A9">
            <w:pPr>
              <w:spacing w:after="0" w:line="240" w:lineRule="auto"/>
              <w:jc w:val="center"/>
              <w:rPr>
                <w:rFonts w:ascii="Arial" w:eastAsia="Times New Roman" w:hAnsi="Arial" w:cs="Arial"/>
                <w:color w:val="010C29"/>
                <w:sz w:val="18"/>
                <w:szCs w:val="18"/>
              </w:rPr>
            </w:pPr>
            <w:r w:rsidRPr="003C0DA0">
              <w:rPr>
                <w:rFonts w:ascii="Arial" w:eastAsia="Times New Roman" w:hAnsi="Arial" w:cs="Arial"/>
                <w:color w:val="010C29"/>
                <w:sz w:val="18"/>
                <w:szCs w:val="18"/>
              </w:rPr>
              <w:t xml:space="preserve">$38,489 </w:t>
            </w:r>
            <w:r>
              <w:rPr>
                <w:rFonts w:ascii="Arial" w:eastAsia="Times New Roman" w:hAnsi="Arial" w:cs="Arial"/>
                <w:color w:val="010C29"/>
                <w:sz w:val="18"/>
                <w:szCs w:val="18"/>
              </w:rPr>
              <w:t xml:space="preserve">      </w:t>
            </w:r>
            <w:r w:rsidRPr="003C0DA0">
              <w:rPr>
                <w:rFonts w:ascii="Arial" w:eastAsia="Times New Roman" w:hAnsi="Arial" w:cs="Arial"/>
                <w:color w:val="010C29"/>
                <w:sz w:val="18"/>
                <w:szCs w:val="18"/>
              </w:rPr>
              <w:t>or less</w:t>
            </w:r>
          </w:p>
        </w:tc>
        <w:tc>
          <w:tcPr>
            <w:tcW w:w="3176" w:type="dxa"/>
            <w:gridSpan w:val="2"/>
            <w:vAlign w:val="center"/>
          </w:tcPr>
          <w:p w:rsidR="000647CE" w:rsidRPr="003C0DA0" w:rsidRDefault="00002DCB" w:rsidP="00F653A9">
            <w:pPr>
              <w:spacing w:after="0" w:line="240" w:lineRule="auto"/>
              <w:jc w:val="center"/>
              <w:rPr>
                <w:rFonts w:ascii="Arial" w:eastAsia="Times New Roman" w:hAnsi="Arial" w:cs="Arial"/>
                <w:color w:val="010C29"/>
                <w:sz w:val="18"/>
                <w:szCs w:val="18"/>
              </w:rPr>
            </w:pPr>
            <w:r>
              <w:rPr>
                <w:rFonts w:ascii="Arial" w:eastAsia="Times New Roman" w:hAnsi="Arial" w:cs="Arial"/>
                <w:color w:val="010C29"/>
                <w:sz w:val="18"/>
                <w:szCs w:val="18"/>
              </w:rPr>
              <w:t>$843</w:t>
            </w:r>
          </w:p>
        </w:tc>
      </w:tr>
      <w:tr w:rsidR="000647CE" w:rsidRPr="003C0DA0" w:rsidTr="000647CE">
        <w:trPr>
          <w:jc w:val="center"/>
        </w:trPr>
        <w:tc>
          <w:tcPr>
            <w:tcW w:w="2345" w:type="dxa"/>
            <w:vAlign w:val="center"/>
          </w:tcPr>
          <w:p w:rsidR="000647CE" w:rsidRPr="003C0DA0" w:rsidRDefault="000647CE" w:rsidP="003C0DA0">
            <w:pPr>
              <w:spacing w:after="0" w:line="240" w:lineRule="auto"/>
              <w:rPr>
                <w:rFonts w:ascii="Arial" w:eastAsia="Times New Roman" w:hAnsi="Arial" w:cs="Arial"/>
                <w:color w:val="010C29"/>
                <w:sz w:val="18"/>
                <w:szCs w:val="18"/>
              </w:rPr>
            </w:pPr>
          </w:p>
        </w:tc>
        <w:tc>
          <w:tcPr>
            <w:tcW w:w="1163" w:type="dxa"/>
          </w:tcPr>
          <w:p w:rsidR="000647CE" w:rsidRPr="003C0DA0" w:rsidRDefault="000647CE" w:rsidP="00F653A9">
            <w:pPr>
              <w:spacing w:after="0" w:line="240" w:lineRule="auto"/>
              <w:jc w:val="center"/>
              <w:rPr>
                <w:rFonts w:ascii="Arial" w:eastAsia="Times New Roman" w:hAnsi="Arial" w:cs="Arial"/>
                <w:color w:val="010C29"/>
                <w:sz w:val="18"/>
                <w:szCs w:val="18"/>
              </w:rPr>
            </w:pPr>
          </w:p>
        </w:tc>
        <w:tc>
          <w:tcPr>
            <w:tcW w:w="975" w:type="dxa"/>
            <w:gridSpan w:val="2"/>
            <w:vAlign w:val="center"/>
          </w:tcPr>
          <w:p w:rsidR="000647CE" w:rsidRPr="003C0DA0" w:rsidRDefault="000647CE" w:rsidP="00F653A9">
            <w:pPr>
              <w:spacing w:after="0" w:line="240" w:lineRule="auto"/>
              <w:jc w:val="center"/>
              <w:rPr>
                <w:rFonts w:ascii="Arial" w:eastAsia="Times New Roman" w:hAnsi="Arial" w:cs="Arial"/>
                <w:color w:val="010C29"/>
                <w:sz w:val="18"/>
                <w:szCs w:val="18"/>
              </w:rPr>
            </w:pPr>
          </w:p>
        </w:tc>
        <w:tc>
          <w:tcPr>
            <w:tcW w:w="1022" w:type="dxa"/>
            <w:gridSpan w:val="2"/>
            <w:vAlign w:val="center"/>
          </w:tcPr>
          <w:p w:rsidR="000647CE" w:rsidRPr="003C0DA0" w:rsidRDefault="000647CE" w:rsidP="00F653A9">
            <w:pPr>
              <w:spacing w:after="0" w:line="240" w:lineRule="auto"/>
              <w:jc w:val="center"/>
              <w:rPr>
                <w:rFonts w:ascii="Arial" w:eastAsia="Times New Roman" w:hAnsi="Arial" w:cs="Arial"/>
                <w:color w:val="010C29"/>
                <w:sz w:val="18"/>
                <w:szCs w:val="18"/>
              </w:rPr>
            </w:pPr>
          </w:p>
        </w:tc>
        <w:tc>
          <w:tcPr>
            <w:tcW w:w="3176" w:type="dxa"/>
            <w:gridSpan w:val="2"/>
            <w:vAlign w:val="center"/>
          </w:tcPr>
          <w:p w:rsidR="000647CE" w:rsidRPr="003C0DA0" w:rsidRDefault="000647CE" w:rsidP="00F653A9">
            <w:pPr>
              <w:spacing w:after="0" w:line="240" w:lineRule="auto"/>
              <w:jc w:val="center"/>
              <w:rPr>
                <w:rFonts w:ascii="Arial" w:eastAsia="Times New Roman" w:hAnsi="Arial" w:cs="Arial"/>
                <w:color w:val="010C29"/>
                <w:sz w:val="18"/>
                <w:szCs w:val="18"/>
              </w:rPr>
            </w:pPr>
          </w:p>
        </w:tc>
      </w:tr>
      <w:tr w:rsidR="001017F2" w:rsidRPr="003C0DA0" w:rsidTr="001017F2">
        <w:trPr>
          <w:gridAfter w:val="1"/>
          <w:wAfter w:w="3170" w:type="dxa"/>
          <w:jc w:val="center"/>
        </w:trPr>
        <w:tc>
          <w:tcPr>
            <w:tcW w:w="2345" w:type="dxa"/>
            <w:vAlign w:val="center"/>
            <w:hideMark/>
          </w:tcPr>
          <w:p w:rsidR="001017F2" w:rsidRPr="003C0DA0" w:rsidRDefault="001017F2" w:rsidP="003C0DA0">
            <w:pPr>
              <w:spacing w:after="0" w:line="240" w:lineRule="auto"/>
              <w:rPr>
                <w:rFonts w:ascii="Arial" w:eastAsia="Times New Roman" w:hAnsi="Arial" w:cs="Arial"/>
                <w:color w:val="010C29"/>
                <w:sz w:val="18"/>
                <w:szCs w:val="18"/>
              </w:rPr>
            </w:pPr>
            <w:r w:rsidRPr="003C0DA0">
              <w:rPr>
                <w:rFonts w:ascii="Arial" w:eastAsia="Times New Roman" w:hAnsi="Arial" w:cs="Arial"/>
                <w:color w:val="010C29"/>
                <w:sz w:val="18"/>
                <w:szCs w:val="18"/>
              </w:rPr>
              <w:t>For each additional dependent add:</w:t>
            </w:r>
          </w:p>
        </w:tc>
        <w:tc>
          <w:tcPr>
            <w:tcW w:w="1186" w:type="dxa"/>
            <w:gridSpan w:val="2"/>
            <w:vAlign w:val="center"/>
            <w:hideMark/>
          </w:tcPr>
          <w:p w:rsidR="001017F2" w:rsidRPr="003C0DA0" w:rsidRDefault="001017F2" w:rsidP="00F653A9">
            <w:pPr>
              <w:spacing w:after="0" w:line="240" w:lineRule="auto"/>
              <w:jc w:val="center"/>
              <w:rPr>
                <w:rFonts w:ascii="Arial" w:eastAsia="Times New Roman" w:hAnsi="Arial" w:cs="Arial"/>
                <w:color w:val="010C29"/>
                <w:sz w:val="18"/>
                <w:szCs w:val="18"/>
              </w:rPr>
            </w:pPr>
            <w:r w:rsidRPr="003C0DA0">
              <w:rPr>
                <w:rFonts w:ascii="Arial" w:eastAsia="Times New Roman" w:hAnsi="Arial" w:cs="Arial"/>
                <w:color w:val="010C29"/>
                <w:sz w:val="18"/>
                <w:szCs w:val="18"/>
              </w:rPr>
              <w:t>$2,205</w:t>
            </w:r>
          </w:p>
        </w:tc>
        <w:tc>
          <w:tcPr>
            <w:tcW w:w="990" w:type="dxa"/>
            <w:gridSpan w:val="2"/>
            <w:vAlign w:val="center"/>
          </w:tcPr>
          <w:p w:rsidR="001017F2" w:rsidRPr="003C0DA0" w:rsidRDefault="001017F2" w:rsidP="00F653A9">
            <w:pPr>
              <w:spacing w:after="0" w:line="240" w:lineRule="auto"/>
              <w:jc w:val="center"/>
              <w:rPr>
                <w:rFonts w:ascii="Arial" w:eastAsia="Times New Roman" w:hAnsi="Arial" w:cs="Arial"/>
                <w:color w:val="010C29"/>
                <w:sz w:val="18"/>
                <w:szCs w:val="18"/>
              </w:rPr>
            </w:pPr>
            <w:r>
              <w:rPr>
                <w:rFonts w:ascii="Arial" w:eastAsia="Times New Roman" w:hAnsi="Arial" w:cs="Arial"/>
                <w:color w:val="010C29"/>
                <w:sz w:val="18"/>
                <w:szCs w:val="18"/>
              </w:rPr>
              <w:t>$2,205</w:t>
            </w:r>
          </w:p>
        </w:tc>
        <w:tc>
          <w:tcPr>
            <w:tcW w:w="990" w:type="dxa"/>
            <w:gridSpan w:val="2"/>
            <w:vAlign w:val="center"/>
            <w:hideMark/>
          </w:tcPr>
          <w:p w:rsidR="001017F2" w:rsidRPr="003C0DA0" w:rsidRDefault="001017F2" w:rsidP="001017F2">
            <w:pPr>
              <w:spacing w:after="0" w:line="240" w:lineRule="auto"/>
              <w:rPr>
                <w:rFonts w:ascii="Arial" w:eastAsia="Times New Roman" w:hAnsi="Arial" w:cs="Arial"/>
                <w:color w:val="010C29"/>
                <w:sz w:val="18"/>
                <w:szCs w:val="18"/>
              </w:rPr>
            </w:pPr>
            <w:r>
              <w:rPr>
                <w:rFonts w:ascii="Arial" w:eastAsia="Times New Roman" w:hAnsi="Arial" w:cs="Arial"/>
                <w:color w:val="010C29"/>
                <w:sz w:val="18"/>
                <w:szCs w:val="18"/>
              </w:rPr>
              <w:t xml:space="preserve">  $2,205</w:t>
            </w:r>
          </w:p>
        </w:tc>
      </w:tr>
    </w:tbl>
    <w:p w:rsidR="001E3B2D" w:rsidRDefault="004E1031" w:rsidP="00C816BA">
      <w:pPr>
        <w:shd w:val="clear" w:color="auto" w:fill="FFFFFF"/>
        <w:spacing w:before="180" w:after="0" w:line="240" w:lineRule="auto"/>
        <w:outlineLvl w:val="1"/>
        <w:rPr>
          <w:b/>
          <w:sz w:val="20"/>
          <w:szCs w:val="20"/>
          <w:lang w:val="en"/>
        </w:rPr>
      </w:pPr>
      <w:r w:rsidRPr="000647CE">
        <w:rPr>
          <w:rStyle w:val="Strong"/>
          <w:b w:val="0"/>
          <w:sz w:val="20"/>
          <w:szCs w:val="20"/>
          <w:lang w:val="en"/>
        </w:rPr>
        <w:t>Note:</w:t>
      </w:r>
      <w:r w:rsidRPr="000647CE">
        <w:rPr>
          <w:b/>
          <w:sz w:val="20"/>
          <w:szCs w:val="20"/>
          <w:lang w:val="en"/>
        </w:rPr>
        <w:t xml:space="preserve"> Unreimbursed Medical expenses (what you paid out of pocket after medical insurance pays) may be deducted from your total gross household income</w:t>
      </w:r>
      <w:r w:rsidR="000647CE" w:rsidRPr="000647CE">
        <w:rPr>
          <w:b/>
          <w:sz w:val="20"/>
          <w:szCs w:val="20"/>
          <w:lang w:val="en"/>
        </w:rPr>
        <w:t xml:space="preserve"> minus the Medical </w:t>
      </w:r>
      <w:r w:rsidRPr="000647CE">
        <w:rPr>
          <w:b/>
          <w:sz w:val="20"/>
          <w:szCs w:val="20"/>
          <w:lang w:val="en"/>
        </w:rPr>
        <w:t>Expense Deductible</w:t>
      </w:r>
      <w:r w:rsidR="000647CE" w:rsidRPr="000647CE">
        <w:rPr>
          <w:b/>
          <w:sz w:val="20"/>
          <w:szCs w:val="20"/>
          <w:lang w:val="en"/>
        </w:rPr>
        <w:t xml:space="preserve"> – see above</w:t>
      </w:r>
      <w:r w:rsidRPr="000647CE">
        <w:rPr>
          <w:b/>
          <w:sz w:val="20"/>
          <w:szCs w:val="20"/>
          <w:lang w:val="en"/>
        </w:rPr>
        <w:t>.</w:t>
      </w:r>
    </w:p>
    <w:p w:rsidR="00C816BA" w:rsidRDefault="00C816BA" w:rsidP="00C816BA">
      <w:pPr>
        <w:shd w:val="clear" w:color="auto" w:fill="FFFFFF"/>
        <w:spacing w:before="180" w:after="0" w:line="240" w:lineRule="auto"/>
        <w:outlineLvl w:val="1"/>
        <w:rPr>
          <w:rFonts w:ascii="Times New Roman" w:eastAsia="Times New Roman" w:hAnsi="Times New Roman" w:cs="Times New Roman"/>
          <w:b/>
          <w:bCs/>
          <w:kern w:val="36"/>
          <w:sz w:val="28"/>
          <w:szCs w:val="28"/>
          <w:u w:val="single"/>
        </w:rPr>
      </w:pPr>
    </w:p>
    <w:p w:rsidR="00C92850" w:rsidRPr="001E3B2D" w:rsidRDefault="00C92850" w:rsidP="00F02A80">
      <w:pPr>
        <w:spacing w:after="150" w:line="240" w:lineRule="auto"/>
        <w:jc w:val="center"/>
        <w:outlineLvl w:val="1"/>
        <w:rPr>
          <w:rFonts w:ascii="Times New Roman" w:eastAsia="Times New Roman" w:hAnsi="Times New Roman" w:cs="Times New Roman"/>
          <w:b/>
          <w:bCs/>
          <w:kern w:val="36"/>
          <w:sz w:val="28"/>
          <w:szCs w:val="28"/>
          <w:u w:val="single"/>
        </w:rPr>
      </w:pPr>
      <w:r w:rsidRPr="001E3B2D">
        <w:rPr>
          <w:rFonts w:ascii="Times New Roman" w:eastAsia="Times New Roman" w:hAnsi="Times New Roman" w:cs="Times New Roman"/>
          <w:b/>
          <w:bCs/>
          <w:kern w:val="36"/>
          <w:sz w:val="28"/>
          <w:szCs w:val="28"/>
          <w:u w:val="single"/>
        </w:rPr>
        <w:t>Veteran Eligibility</w:t>
      </w:r>
    </w:p>
    <w:p w:rsidR="00C92850" w:rsidRPr="001E3B2D" w:rsidRDefault="00C92850" w:rsidP="005B1272">
      <w:pPr>
        <w:spacing w:after="180" w:line="240" w:lineRule="auto"/>
        <w:rPr>
          <w:rFonts w:ascii="Times New Roman" w:eastAsia="Times New Roman" w:hAnsi="Times New Roman" w:cs="Times New Roman"/>
          <w:b/>
          <w:bCs/>
          <w:color w:val="FFFFFF"/>
        </w:rPr>
      </w:pPr>
      <w:r w:rsidRPr="001E3B2D">
        <w:rPr>
          <w:rFonts w:ascii="Times New Roman" w:eastAsia="Times New Roman" w:hAnsi="Times New Roman" w:cs="Times New Roman"/>
          <w:b/>
        </w:rPr>
        <w:t>For the purposes of VA health benefits and services, a person who served in the active military service and who was discharged or released under conditions other than dishonorable is a</w:t>
      </w:r>
      <w:r w:rsidR="00400D6E" w:rsidRPr="001E3B2D">
        <w:rPr>
          <w:rFonts w:ascii="Times New Roman" w:eastAsia="Times New Roman" w:hAnsi="Times New Roman" w:cs="Times New Roman"/>
          <w:b/>
        </w:rPr>
        <w:t xml:space="preserve"> V</w:t>
      </w:r>
      <w:r w:rsidRPr="001E3B2D">
        <w:rPr>
          <w:rFonts w:ascii="Times New Roman" w:eastAsia="Times New Roman" w:hAnsi="Times New Roman" w:cs="Times New Roman"/>
          <w:b/>
        </w:rPr>
        <w:t>eteran.</w:t>
      </w:r>
      <w:r w:rsidR="00F02A80" w:rsidRPr="001E3B2D">
        <w:rPr>
          <w:rFonts w:ascii="Times New Roman" w:eastAsia="Times New Roman" w:hAnsi="Times New Roman" w:cs="Times New Roman"/>
          <w:b/>
        </w:rPr>
        <w:t xml:space="preserve"> </w:t>
      </w:r>
      <w:r w:rsidRPr="001E3B2D">
        <w:rPr>
          <w:rFonts w:ascii="Times New Roman" w:eastAsia="Times New Roman" w:hAnsi="Times New Roman" w:cs="Times New Roman"/>
          <w:b/>
        </w:rPr>
        <w:t xml:space="preserve">If you served in the active military service and were separated under any condition other than dishonorable, you </w:t>
      </w:r>
      <w:r w:rsidRPr="001E3B2D">
        <w:rPr>
          <w:rFonts w:ascii="Times New Roman" w:eastAsia="Times New Roman" w:hAnsi="Times New Roman" w:cs="Times New Roman"/>
          <w:b/>
          <w:u w:val="single"/>
        </w:rPr>
        <w:t>may</w:t>
      </w:r>
      <w:r w:rsidRPr="001E3B2D">
        <w:rPr>
          <w:rFonts w:ascii="Times New Roman" w:eastAsia="Times New Roman" w:hAnsi="Times New Roman" w:cs="Times New Roman"/>
          <w:b/>
        </w:rPr>
        <w:t xml:space="preserve"> qualify for VA health care benefits. Current and former members of the Reserves or National Guard who were called to active duty by a federal order and completed the full period for which they were called or ordered to active duty </w:t>
      </w:r>
      <w:r w:rsidRPr="001E3B2D">
        <w:rPr>
          <w:rFonts w:ascii="Times New Roman" w:eastAsia="Times New Roman" w:hAnsi="Times New Roman" w:cs="Times New Roman"/>
          <w:b/>
          <w:u w:val="single"/>
        </w:rPr>
        <w:t>may</w:t>
      </w:r>
      <w:r w:rsidRPr="001E3B2D">
        <w:rPr>
          <w:rFonts w:ascii="Times New Roman" w:eastAsia="Times New Roman" w:hAnsi="Times New Roman" w:cs="Times New Roman"/>
          <w:b/>
        </w:rPr>
        <w:t xml:space="preserve"> be eligible for VA health benefits as well.</w:t>
      </w:r>
      <w:r w:rsidR="00400D6E" w:rsidRPr="001E3B2D">
        <w:rPr>
          <w:rFonts w:ascii="Times New Roman" w:eastAsia="Times New Roman" w:hAnsi="Times New Roman" w:cs="Times New Roman"/>
          <w:b/>
        </w:rPr>
        <w:t xml:space="preserve">  </w:t>
      </w:r>
      <w:r w:rsidRPr="001E3B2D">
        <w:rPr>
          <w:rFonts w:ascii="Times New Roman" w:eastAsia="Times New Roman" w:hAnsi="Times New Roman" w:cs="Times New Roman"/>
          <w:b/>
        </w:rPr>
        <w:t xml:space="preserve">Reserves or National Guard members with </w:t>
      </w:r>
      <w:r w:rsidRPr="001E3B2D">
        <w:rPr>
          <w:rFonts w:ascii="Times New Roman" w:eastAsia="Times New Roman" w:hAnsi="Times New Roman" w:cs="Times New Roman"/>
          <w:b/>
          <w:u w:val="single"/>
        </w:rPr>
        <w:t xml:space="preserve">active duty for training purposes </w:t>
      </w:r>
      <w:r w:rsidRPr="001E3B2D">
        <w:rPr>
          <w:rFonts w:ascii="Times New Roman" w:eastAsia="Times New Roman" w:hAnsi="Times New Roman" w:cs="Times New Roman"/>
          <w:b/>
          <w:i/>
          <w:iCs/>
          <w:u w:val="single"/>
        </w:rPr>
        <w:t>only</w:t>
      </w:r>
      <w:r w:rsidRPr="001E3B2D">
        <w:rPr>
          <w:rFonts w:ascii="Times New Roman" w:eastAsia="Times New Roman" w:hAnsi="Times New Roman" w:cs="Times New Roman"/>
          <w:b/>
        </w:rPr>
        <w:t xml:space="preserve"> </w:t>
      </w:r>
      <w:r w:rsidRPr="001E3B2D">
        <w:rPr>
          <w:rFonts w:ascii="Times New Roman" w:eastAsia="Times New Roman" w:hAnsi="Times New Roman" w:cs="Times New Roman"/>
          <w:b/>
          <w:u w:val="single"/>
        </w:rPr>
        <w:t>do not</w:t>
      </w:r>
      <w:r w:rsidRPr="001E3B2D">
        <w:rPr>
          <w:rFonts w:ascii="Times New Roman" w:eastAsia="Times New Roman" w:hAnsi="Times New Roman" w:cs="Times New Roman"/>
          <w:b/>
        </w:rPr>
        <w:t xml:space="preserve"> meet the basic eligibility requirement.</w:t>
      </w:r>
      <w:r w:rsidR="005B1272" w:rsidRPr="001E3B2D">
        <w:rPr>
          <w:rFonts w:ascii="Times New Roman" w:eastAsia="Times New Roman" w:hAnsi="Times New Roman" w:cs="Times New Roman"/>
          <w:b/>
        </w:rPr>
        <w:t xml:space="preserve">  </w:t>
      </w:r>
    </w:p>
    <w:p w:rsidR="00C92850" w:rsidRPr="001E3B2D" w:rsidRDefault="00C92850" w:rsidP="005B1272">
      <w:pPr>
        <w:spacing w:after="180" w:line="240" w:lineRule="auto"/>
        <w:rPr>
          <w:rFonts w:ascii="Times New Roman" w:eastAsia="Times New Roman" w:hAnsi="Times New Roman" w:cs="Times New Roman"/>
          <w:b/>
          <w:bCs/>
          <w:color w:val="FFFFFF"/>
        </w:rPr>
      </w:pPr>
      <w:r w:rsidRPr="001E3B2D">
        <w:rPr>
          <w:rFonts w:ascii="Times New Roman" w:eastAsia="Times New Roman" w:hAnsi="Times New Roman" w:cs="Times New Roman"/>
          <w:b/>
        </w:rPr>
        <w:t xml:space="preserve">Veterans who enlisted after September 7, 1980, or entered active duty after October 16, 1981, must have </w:t>
      </w:r>
      <w:r w:rsidRPr="001E3B2D">
        <w:rPr>
          <w:rFonts w:ascii="Times New Roman" w:eastAsia="Times New Roman" w:hAnsi="Times New Roman" w:cs="Times New Roman"/>
          <w:b/>
          <w:u w:val="single"/>
        </w:rPr>
        <w:t>served 24 continuous months</w:t>
      </w:r>
      <w:r w:rsidRPr="001E3B2D">
        <w:rPr>
          <w:rFonts w:ascii="Times New Roman" w:eastAsia="Times New Roman" w:hAnsi="Times New Roman" w:cs="Times New Roman"/>
          <w:b/>
        </w:rPr>
        <w:t xml:space="preserve"> or the full period for which they were called to active duty in order to be eligible. This minimum duty requirement may not apply to Veterans who were discharged for a disability incurred or aggravated in the line of duty, for a hardship or “early out,” or those who served prior to September 7, 1980. </w:t>
      </w:r>
      <w:r w:rsidR="00861032" w:rsidRPr="001E3B2D">
        <w:rPr>
          <w:rFonts w:ascii="Times New Roman" w:eastAsia="Times New Roman" w:hAnsi="Times New Roman" w:cs="Times New Roman"/>
          <w:b/>
        </w:rPr>
        <w:t xml:space="preserve">  </w:t>
      </w:r>
      <w:r w:rsidRPr="001E3B2D">
        <w:rPr>
          <w:rFonts w:ascii="Times New Roman" w:eastAsia="Times New Roman" w:hAnsi="Times New Roman" w:cs="Times New Roman"/>
          <w:b/>
        </w:rPr>
        <w:t>Since there are a number of other exceptions to the minimum duty requirements, VA encourages all Veterans to apply so that we may determine their enrollment eligibility.</w:t>
      </w:r>
      <w:r w:rsidRPr="001E3B2D">
        <w:rPr>
          <w:rFonts w:ascii="Times New Roman" w:eastAsia="Times New Roman" w:hAnsi="Times New Roman" w:cs="Times New Roman"/>
          <w:b/>
          <w:bCs/>
          <w:color w:val="FFFFFF"/>
        </w:rPr>
        <w:t xml:space="preserve"> Eligibility</w:t>
      </w:r>
    </w:p>
    <w:p w:rsidR="00C92850" w:rsidRPr="00C816BA" w:rsidRDefault="00861032" w:rsidP="00C816BA">
      <w:pPr>
        <w:spacing w:after="180" w:line="240" w:lineRule="auto"/>
        <w:jc w:val="center"/>
        <w:rPr>
          <w:rFonts w:ascii="Times New Roman" w:eastAsia="Times New Roman" w:hAnsi="Times New Roman" w:cs="Times New Roman"/>
          <w:b/>
          <w:sz w:val="24"/>
          <w:szCs w:val="24"/>
          <w:u w:val="single"/>
        </w:rPr>
      </w:pPr>
      <w:r w:rsidRPr="00C816BA">
        <w:rPr>
          <w:rFonts w:ascii="Times New Roman" w:eastAsia="Times New Roman" w:hAnsi="Times New Roman" w:cs="Times New Roman"/>
          <w:b/>
          <w:sz w:val="24"/>
          <w:szCs w:val="24"/>
          <w:u w:val="single"/>
        </w:rPr>
        <w:t>E</w:t>
      </w:r>
      <w:r w:rsidR="00C92850" w:rsidRPr="00C816BA">
        <w:rPr>
          <w:rFonts w:ascii="Times New Roman" w:eastAsia="Times New Roman" w:hAnsi="Times New Roman" w:cs="Times New Roman"/>
          <w:b/>
          <w:sz w:val="24"/>
          <w:szCs w:val="24"/>
          <w:u w:val="single"/>
        </w:rPr>
        <w:t>nhanced eligibility</w:t>
      </w:r>
      <w:r w:rsidRPr="00C816BA">
        <w:rPr>
          <w:rFonts w:ascii="Times New Roman" w:eastAsia="Times New Roman" w:hAnsi="Times New Roman" w:cs="Times New Roman"/>
          <w:b/>
          <w:sz w:val="24"/>
          <w:szCs w:val="24"/>
          <w:u w:val="single"/>
        </w:rPr>
        <w:t xml:space="preserve"> </w:t>
      </w:r>
      <w:r w:rsidR="00C92850" w:rsidRPr="00C816BA">
        <w:rPr>
          <w:rFonts w:ascii="Times New Roman" w:eastAsia="Times New Roman" w:hAnsi="Times New Roman" w:cs="Times New Roman"/>
          <w:b/>
          <w:sz w:val="24"/>
          <w:szCs w:val="24"/>
          <w:u w:val="single"/>
        </w:rPr>
        <w:t xml:space="preserve">status </w:t>
      </w:r>
      <w:r w:rsidRPr="00C816BA">
        <w:rPr>
          <w:rFonts w:ascii="Times New Roman" w:eastAsia="Times New Roman" w:hAnsi="Times New Roman" w:cs="Times New Roman"/>
          <w:b/>
          <w:sz w:val="24"/>
          <w:szCs w:val="24"/>
          <w:u w:val="single"/>
        </w:rPr>
        <w:t>may be granted for Ve</w:t>
      </w:r>
      <w:r w:rsidR="00C92850" w:rsidRPr="00C816BA">
        <w:rPr>
          <w:rFonts w:ascii="Times New Roman" w:eastAsia="Times New Roman" w:hAnsi="Times New Roman" w:cs="Times New Roman"/>
          <w:b/>
          <w:sz w:val="24"/>
          <w:szCs w:val="24"/>
          <w:u w:val="single"/>
        </w:rPr>
        <w:t>terans who</w:t>
      </w:r>
      <w:r w:rsidR="00676509" w:rsidRPr="00C816BA">
        <w:rPr>
          <w:rFonts w:ascii="Times New Roman" w:eastAsia="Times New Roman" w:hAnsi="Times New Roman" w:cs="Times New Roman"/>
          <w:b/>
          <w:sz w:val="24"/>
          <w:szCs w:val="24"/>
          <w:u w:val="single"/>
        </w:rPr>
        <w:t xml:space="preserve"> meet the </w:t>
      </w:r>
      <w:r w:rsidR="00C816BA">
        <w:rPr>
          <w:rFonts w:ascii="Times New Roman" w:eastAsia="Times New Roman" w:hAnsi="Times New Roman" w:cs="Times New Roman"/>
          <w:b/>
          <w:sz w:val="24"/>
          <w:szCs w:val="24"/>
          <w:u w:val="single"/>
        </w:rPr>
        <w:t xml:space="preserve">                                                         </w:t>
      </w:r>
      <w:r w:rsidR="00676509" w:rsidRPr="00C816BA">
        <w:rPr>
          <w:rFonts w:ascii="Times New Roman" w:eastAsia="Times New Roman" w:hAnsi="Times New Roman" w:cs="Times New Roman"/>
          <w:b/>
          <w:sz w:val="24"/>
          <w:szCs w:val="24"/>
          <w:u w:val="single"/>
        </w:rPr>
        <w:t>criteria</w:t>
      </w:r>
      <w:r w:rsidR="00C816BA">
        <w:rPr>
          <w:rFonts w:ascii="Times New Roman" w:eastAsia="Times New Roman" w:hAnsi="Times New Roman" w:cs="Times New Roman"/>
          <w:b/>
          <w:sz w:val="24"/>
          <w:szCs w:val="24"/>
          <w:u w:val="single"/>
        </w:rPr>
        <w:t xml:space="preserve"> </w:t>
      </w:r>
      <w:r w:rsidR="00676509" w:rsidRPr="00C816BA">
        <w:rPr>
          <w:rFonts w:ascii="Times New Roman" w:eastAsia="Times New Roman" w:hAnsi="Times New Roman" w:cs="Times New Roman"/>
          <w:b/>
          <w:sz w:val="24"/>
          <w:szCs w:val="24"/>
          <w:u w:val="single"/>
        </w:rPr>
        <w:t>listed in the Priority Group Table listed below.</w:t>
      </w:r>
    </w:p>
    <w:p w:rsidR="005C4E06" w:rsidRPr="005C4E06" w:rsidRDefault="005C4E06" w:rsidP="00C816BA">
      <w:pPr>
        <w:shd w:val="clear" w:color="auto" w:fill="FFFFFF"/>
        <w:spacing w:before="300" w:after="0" w:line="240" w:lineRule="auto"/>
        <w:outlineLvl w:val="1"/>
        <w:rPr>
          <w:rFonts w:ascii="Arial" w:eastAsia="Times New Roman" w:hAnsi="Arial" w:cs="Arial"/>
          <w:b/>
          <w:sz w:val="18"/>
          <w:szCs w:val="18"/>
          <w:lang w:val="en"/>
        </w:rPr>
      </w:pPr>
      <w:r w:rsidRPr="005C4E06">
        <w:rPr>
          <w:rFonts w:ascii="Georgia" w:eastAsia="Times New Roman" w:hAnsi="Georgia" w:cs="Arial"/>
          <w:b/>
          <w:sz w:val="28"/>
          <w:szCs w:val="28"/>
          <w:lang w:val="en"/>
        </w:rPr>
        <w:t>Priority Group 1</w:t>
      </w:r>
      <w:r w:rsidR="00C816BA">
        <w:rPr>
          <w:rFonts w:ascii="Georgia" w:eastAsia="Times New Roman" w:hAnsi="Georgia" w:cs="Arial"/>
          <w:b/>
          <w:sz w:val="28"/>
          <w:szCs w:val="28"/>
          <w:lang w:val="en"/>
        </w:rPr>
        <w:t xml:space="preserve">:                                                                                                             </w:t>
      </w:r>
      <w:r w:rsidRPr="005C4E06">
        <w:rPr>
          <w:rFonts w:ascii="Arial" w:eastAsia="Times New Roman" w:hAnsi="Arial" w:cs="Arial"/>
          <w:b/>
          <w:sz w:val="18"/>
          <w:szCs w:val="18"/>
          <w:lang w:val="en"/>
        </w:rPr>
        <w:t>Veterans with VA-rated service-connected disabilities 50% or more disabling</w:t>
      </w:r>
      <w:r w:rsidR="00C816BA">
        <w:rPr>
          <w:rFonts w:ascii="Arial" w:eastAsia="Times New Roman" w:hAnsi="Arial" w:cs="Arial"/>
          <w:b/>
          <w:sz w:val="18"/>
          <w:szCs w:val="18"/>
          <w:lang w:val="en"/>
        </w:rPr>
        <w:t xml:space="preserve">;                                                                                  </w:t>
      </w:r>
      <w:r w:rsidRPr="005C4E06">
        <w:rPr>
          <w:rFonts w:ascii="Arial" w:eastAsia="Times New Roman" w:hAnsi="Arial" w:cs="Arial"/>
          <w:b/>
          <w:sz w:val="18"/>
          <w:szCs w:val="18"/>
          <w:lang w:val="en"/>
        </w:rPr>
        <w:t>Veterans determined by VA to be unemployable due to service-connected conditions</w:t>
      </w:r>
    </w:p>
    <w:p w:rsidR="005C4E06" w:rsidRPr="005C4E06" w:rsidRDefault="005C4E06" w:rsidP="00C816BA">
      <w:pPr>
        <w:shd w:val="clear" w:color="auto" w:fill="FFFFFF"/>
        <w:spacing w:before="300" w:after="0" w:line="240" w:lineRule="auto"/>
        <w:outlineLvl w:val="1"/>
        <w:rPr>
          <w:rFonts w:ascii="Arial" w:eastAsia="Times New Roman" w:hAnsi="Arial" w:cs="Arial"/>
          <w:b/>
          <w:sz w:val="18"/>
          <w:szCs w:val="18"/>
          <w:lang w:val="en"/>
        </w:rPr>
      </w:pPr>
      <w:r w:rsidRPr="005C4E06">
        <w:rPr>
          <w:rFonts w:ascii="Georgia" w:eastAsia="Times New Roman" w:hAnsi="Georgia" w:cs="Arial"/>
          <w:b/>
          <w:sz w:val="28"/>
          <w:szCs w:val="28"/>
          <w:lang w:val="en"/>
        </w:rPr>
        <w:t>Priority Group 2</w:t>
      </w:r>
      <w:r w:rsidR="00C816BA">
        <w:rPr>
          <w:rFonts w:ascii="Georgia" w:eastAsia="Times New Roman" w:hAnsi="Georgia" w:cs="Arial"/>
          <w:b/>
          <w:sz w:val="28"/>
          <w:szCs w:val="28"/>
          <w:lang w:val="en"/>
        </w:rPr>
        <w:t xml:space="preserve">: </w:t>
      </w:r>
      <w:r w:rsidRPr="005C4E06">
        <w:rPr>
          <w:rFonts w:ascii="Arial" w:eastAsia="Times New Roman" w:hAnsi="Arial" w:cs="Arial"/>
          <w:b/>
          <w:sz w:val="18"/>
          <w:szCs w:val="18"/>
          <w:lang w:val="en"/>
        </w:rPr>
        <w:t>Veterans with VA-rated service-connected disabilities 30% or 40% disabling</w:t>
      </w:r>
    </w:p>
    <w:p w:rsidR="005C4E06" w:rsidRPr="005C4E06" w:rsidRDefault="005C4E06" w:rsidP="00C816BA">
      <w:pPr>
        <w:shd w:val="clear" w:color="auto" w:fill="FFFFFF"/>
        <w:spacing w:before="300" w:after="0" w:line="240" w:lineRule="auto"/>
        <w:outlineLvl w:val="1"/>
        <w:rPr>
          <w:rFonts w:ascii="Arial" w:eastAsia="Times New Roman" w:hAnsi="Arial" w:cs="Arial"/>
          <w:b/>
          <w:sz w:val="18"/>
          <w:szCs w:val="18"/>
          <w:lang w:val="en"/>
        </w:rPr>
      </w:pPr>
      <w:r w:rsidRPr="005C4E06">
        <w:rPr>
          <w:rFonts w:ascii="Georgia" w:eastAsia="Times New Roman" w:hAnsi="Georgia" w:cs="Arial"/>
          <w:b/>
          <w:sz w:val="28"/>
          <w:szCs w:val="28"/>
          <w:lang w:val="en"/>
        </w:rPr>
        <w:t>Priority Group 3</w:t>
      </w:r>
      <w:r w:rsidR="00C816BA">
        <w:rPr>
          <w:rFonts w:ascii="Georgia" w:eastAsia="Times New Roman" w:hAnsi="Georgia" w:cs="Arial"/>
          <w:b/>
          <w:sz w:val="28"/>
          <w:szCs w:val="28"/>
          <w:lang w:val="en"/>
        </w:rPr>
        <w:t xml:space="preserve">:                                                                                                              </w:t>
      </w:r>
      <w:r w:rsidRPr="005C4E06">
        <w:rPr>
          <w:rFonts w:ascii="Arial" w:eastAsia="Times New Roman" w:hAnsi="Arial" w:cs="Arial"/>
          <w:b/>
          <w:sz w:val="18"/>
          <w:szCs w:val="18"/>
          <w:lang w:val="en"/>
        </w:rPr>
        <w:t>Veterans who are Former Prisoners of War (POWs)</w:t>
      </w:r>
      <w:r w:rsidR="00C816BA">
        <w:rPr>
          <w:rFonts w:ascii="Arial" w:eastAsia="Times New Roman" w:hAnsi="Arial" w:cs="Arial"/>
          <w:b/>
          <w:sz w:val="18"/>
          <w:szCs w:val="18"/>
          <w:lang w:val="en"/>
        </w:rPr>
        <w:t xml:space="preserve">                                                                                                                       V</w:t>
      </w:r>
      <w:r w:rsidRPr="005C4E06">
        <w:rPr>
          <w:rFonts w:ascii="Arial" w:eastAsia="Times New Roman" w:hAnsi="Arial" w:cs="Arial"/>
          <w:b/>
          <w:sz w:val="18"/>
          <w:szCs w:val="18"/>
          <w:lang w:val="en"/>
        </w:rPr>
        <w:t>eterans awarded a Purple Heart medal</w:t>
      </w:r>
      <w:r w:rsidR="00C816BA">
        <w:rPr>
          <w:rFonts w:ascii="Arial" w:eastAsia="Times New Roman" w:hAnsi="Arial" w:cs="Arial"/>
          <w:b/>
          <w:sz w:val="18"/>
          <w:szCs w:val="18"/>
          <w:lang w:val="en"/>
        </w:rPr>
        <w:t xml:space="preserve">                                                                                                                                       </w:t>
      </w:r>
      <w:r w:rsidRPr="005C4E06">
        <w:rPr>
          <w:rFonts w:ascii="Arial" w:eastAsia="Times New Roman" w:hAnsi="Arial" w:cs="Arial"/>
          <w:b/>
          <w:sz w:val="18"/>
          <w:szCs w:val="18"/>
          <w:lang w:val="en"/>
        </w:rPr>
        <w:t>Veterans whose discharge was for a disability that was incurred or aggravated in the line of duty</w:t>
      </w:r>
      <w:r w:rsidR="00C816BA">
        <w:rPr>
          <w:rFonts w:ascii="Arial" w:eastAsia="Times New Roman" w:hAnsi="Arial" w:cs="Arial"/>
          <w:b/>
          <w:sz w:val="18"/>
          <w:szCs w:val="18"/>
          <w:lang w:val="en"/>
        </w:rPr>
        <w:t xml:space="preserve">                                      </w:t>
      </w:r>
      <w:r w:rsidRPr="005C4E06">
        <w:rPr>
          <w:rFonts w:ascii="Arial" w:eastAsia="Times New Roman" w:hAnsi="Arial" w:cs="Arial"/>
          <w:b/>
          <w:sz w:val="18"/>
          <w:szCs w:val="18"/>
          <w:lang w:val="en"/>
        </w:rPr>
        <w:t>Veterans with VA-rated service-connected disabilities 10% or 20% disabling</w:t>
      </w:r>
      <w:r w:rsidR="00C816BA">
        <w:rPr>
          <w:rFonts w:ascii="Arial" w:eastAsia="Times New Roman" w:hAnsi="Arial" w:cs="Arial"/>
          <w:b/>
          <w:sz w:val="18"/>
          <w:szCs w:val="18"/>
          <w:lang w:val="en"/>
        </w:rPr>
        <w:t xml:space="preserve">                                                                         </w:t>
      </w:r>
      <w:r w:rsidRPr="005C4E06">
        <w:rPr>
          <w:rFonts w:ascii="Arial" w:eastAsia="Times New Roman" w:hAnsi="Arial" w:cs="Arial"/>
          <w:b/>
          <w:sz w:val="18"/>
          <w:szCs w:val="18"/>
          <w:lang w:val="en"/>
        </w:rPr>
        <w:t>Veterans awarded special eligibility classification under Title 38, U.S.C., § 1151, "benefits for individuals disabled by treatment or vocational rehabilitation"</w:t>
      </w:r>
      <w:r w:rsidR="00C816BA">
        <w:rPr>
          <w:rFonts w:ascii="Arial" w:eastAsia="Times New Roman" w:hAnsi="Arial" w:cs="Arial"/>
          <w:b/>
          <w:sz w:val="18"/>
          <w:szCs w:val="18"/>
          <w:lang w:val="en"/>
        </w:rPr>
        <w:t xml:space="preserve">                                                                                                                                                           </w:t>
      </w:r>
      <w:r w:rsidRPr="005C4E06">
        <w:rPr>
          <w:rFonts w:ascii="Arial" w:eastAsia="Times New Roman" w:hAnsi="Arial" w:cs="Arial"/>
          <w:b/>
          <w:sz w:val="18"/>
          <w:szCs w:val="18"/>
          <w:lang w:val="en"/>
        </w:rPr>
        <w:t>Veterans awarded the Medal Of Honor (MOH)</w:t>
      </w:r>
    </w:p>
    <w:p w:rsidR="005C4E06" w:rsidRPr="005C4E06" w:rsidRDefault="005C4E06" w:rsidP="0087635B">
      <w:pPr>
        <w:shd w:val="clear" w:color="auto" w:fill="FFFFFF"/>
        <w:spacing w:before="300" w:after="0" w:line="240" w:lineRule="auto"/>
        <w:outlineLvl w:val="1"/>
        <w:rPr>
          <w:rFonts w:ascii="Arial" w:eastAsia="Times New Roman" w:hAnsi="Arial" w:cs="Arial"/>
          <w:b/>
          <w:sz w:val="18"/>
          <w:szCs w:val="18"/>
          <w:lang w:val="en"/>
        </w:rPr>
      </w:pPr>
      <w:r w:rsidRPr="005C4E06">
        <w:rPr>
          <w:rFonts w:ascii="Georgia" w:eastAsia="Times New Roman" w:hAnsi="Georgia" w:cs="Arial"/>
          <w:b/>
          <w:sz w:val="28"/>
          <w:szCs w:val="28"/>
          <w:lang w:val="en"/>
        </w:rPr>
        <w:t>Priority Group 4</w:t>
      </w:r>
      <w:r w:rsidR="00AD6C7C">
        <w:rPr>
          <w:rFonts w:ascii="Georgia" w:eastAsia="Times New Roman" w:hAnsi="Georgia" w:cs="Arial"/>
          <w:b/>
          <w:sz w:val="28"/>
          <w:szCs w:val="28"/>
          <w:lang w:val="en"/>
        </w:rPr>
        <w:t xml:space="preserve">: </w:t>
      </w:r>
      <w:r w:rsidR="0087635B">
        <w:rPr>
          <w:rFonts w:ascii="Georgia" w:eastAsia="Times New Roman" w:hAnsi="Georgia" w:cs="Arial"/>
          <w:b/>
          <w:sz w:val="28"/>
          <w:szCs w:val="28"/>
          <w:lang w:val="en"/>
        </w:rPr>
        <w:t xml:space="preserve">                                                                                                                            </w:t>
      </w:r>
      <w:r w:rsidRPr="005C4E06">
        <w:rPr>
          <w:rFonts w:ascii="Arial" w:eastAsia="Times New Roman" w:hAnsi="Arial" w:cs="Arial"/>
          <w:b/>
          <w:sz w:val="18"/>
          <w:szCs w:val="18"/>
          <w:lang w:val="en"/>
        </w:rPr>
        <w:t>Veterans who are receiving aid and attendance or housebound benefits from VA</w:t>
      </w:r>
      <w:r w:rsidR="0087635B">
        <w:rPr>
          <w:rFonts w:ascii="Arial" w:eastAsia="Times New Roman" w:hAnsi="Arial" w:cs="Arial"/>
          <w:b/>
          <w:sz w:val="18"/>
          <w:szCs w:val="18"/>
          <w:lang w:val="en"/>
        </w:rPr>
        <w:t xml:space="preserve">                                                                 </w:t>
      </w:r>
      <w:r w:rsidRPr="005C4E06">
        <w:rPr>
          <w:rFonts w:ascii="Arial" w:eastAsia="Times New Roman" w:hAnsi="Arial" w:cs="Arial"/>
          <w:b/>
          <w:sz w:val="18"/>
          <w:szCs w:val="18"/>
          <w:lang w:val="en"/>
        </w:rPr>
        <w:t>Veterans who have been determined by VA to be catastrophically disabled</w:t>
      </w:r>
    </w:p>
    <w:p w:rsidR="005C4E06" w:rsidRPr="005C4E06" w:rsidRDefault="005C4E06" w:rsidP="0087635B">
      <w:pPr>
        <w:shd w:val="clear" w:color="auto" w:fill="FFFFFF"/>
        <w:spacing w:before="300" w:after="0" w:line="240" w:lineRule="auto"/>
        <w:outlineLvl w:val="1"/>
        <w:rPr>
          <w:rFonts w:ascii="Arial" w:eastAsia="Times New Roman" w:hAnsi="Arial" w:cs="Arial"/>
          <w:b/>
          <w:sz w:val="18"/>
          <w:szCs w:val="18"/>
          <w:lang w:val="en"/>
        </w:rPr>
      </w:pPr>
      <w:r w:rsidRPr="005C4E06">
        <w:rPr>
          <w:rFonts w:ascii="Georgia" w:eastAsia="Times New Roman" w:hAnsi="Georgia" w:cs="Arial"/>
          <w:b/>
          <w:sz w:val="28"/>
          <w:szCs w:val="28"/>
          <w:lang w:val="en"/>
        </w:rPr>
        <w:lastRenderedPageBreak/>
        <w:t>Priority Group 5</w:t>
      </w:r>
      <w:r w:rsidR="0087635B">
        <w:rPr>
          <w:rFonts w:ascii="Georgia" w:eastAsia="Times New Roman" w:hAnsi="Georgia" w:cs="Arial"/>
          <w:b/>
          <w:sz w:val="28"/>
          <w:szCs w:val="28"/>
          <w:lang w:val="en"/>
        </w:rPr>
        <w:t xml:space="preserve">:                                                                                                              </w:t>
      </w:r>
      <w:r w:rsidRPr="005C4E06">
        <w:rPr>
          <w:rFonts w:ascii="Arial" w:eastAsia="Times New Roman" w:hAnsi="Arial" w:cs="Arial"/>
          <w:b/>
          <w:sz w:val="18"/>
          <w:szCs w:val="18"/>
          <w:lang w:val="en"/>
        </w:rPr>
        <w:t>Nonservice-connected Veterans and non</w:t>
      </w:r>
      <w:r w:rsidR="000F014C">
        <w:rPr>
          <w:rFonts w:ascii="Arial" w:eastAsia="Times New Roman" w:hAnsi="Arial" w:cs="Arial"/>
          <w:b/>
          <w:sz w:val="18"/>
          <w:szCs w:val="18"/>
          <w:lang w:val="en"/>
        </w:rPr>
        <w:t>-</w:t>
      </w:r>
      <w:bookmarkStart w:id="0" w:name="_GoBack"/>
      <w:bookmarkEnd w:id="0"/>
      <w:r w:rsidRPr="005C4E06">
        <w:rPr>
          <w:rFonts w:ascii="Arial" w:eastAsia="Times New Roman" w:hAnsi="Arial" w:cs="Arial"/>
          <w:b/>
          <w:sz w:val="18"/>
          <w:szCs w:val="18"/>
          <w:lang w:val="en"/>
        </w:rPr>
        <w:t>compensable service-connected Veterans rated 0% disabled by VA with annual income below the VA’s and geographically (based on your resident zip code) adjusted income limits</w:t>
      </w:r>
      <w:r w:rsidR="0087635B">
        <w:rPr>
          <w:rFonts w:ascii="Arial" w:eastAsia="Times New Roman" w:hAnsi="Arial" w:cs="Arial"/>
          <w:b/>
          <w:sz w:val="18"/>
          <w:szCs w:val="18"/>
          <w:lang w:val="en"/>
        </w:rPr>
        <w:t xml:space="preserve">                                       </w:t>
      </w:r>
      <w:r w:rsidRPr="005C4E06">
        <w:rPr>
          <w:rFonts w:ascii="Arial" w:eastAsia="Times New Roman" w:hAnsi="Arial" w:cs="Arial"/>
          <w:b/>
          <w:sz w:val="18"/>
          <w:szCs w:val="18"/>
          <w:lang w:val="en"/>
        </w:rPr>
        <w:t>Veterans receiving VA pension benefits</w:t>
      </w:r>
      <w:r w:rsidR="0087635B">
        <w:rPr>
          <w:rFonts w:ascii="Arial" w:eastAsia="Times New Roman" w:hAnsi="Arial" w:cs="Arial"/>
          <w:b/>
          <w:sz w:val="18"/>
          <w:szCs w:val="18"/>
          <w:lang w:val="en"/>
        </w:rPr>
        <w:t xml:space="preserve">                                                                                                                                        </w:t>
      </w:r>
      <w:r w:rsidRPr="005C4E06">
        <w:rPr>
          <w:rFonts w:ascii="Arial" w:eastAsia="Times New Roman" w:hAnsi="Arial" w:cs="Arial"/>
          <w:b/>
          <w:sz w:val="18"/>
          <w:szCs w:val="18"/>
          <w:lang w:val="en"/>
        </w:rPr>
        <w:t>Veterans eligible for Medicaid programs</w:t>
      </w:r>
    </w:p>
    <w:p w:rsidR="005C4E06" w:rsidRPr="005C4E06" w:rsidRDefault="005C4E06" w:rsidP="0087635B">
      <w:pPr>
        <w:shd w:val="clear" w:color="auto" w:fill="FFFFFF"/>
        <w:spacing w:before="300" w:after="0" w:line="240" w:lineRule="auto"/>
        <w:outlineLvl w:val="1"/>
        <w:rPr>
          <w:rFonts w:ascii="Arial" w:eastAsia="Times New Roman" w:hAnsi="Arial" w:cs="Arial"/>
          <w:b/>
          <w:sz w:val="18"/>
          <w:szCs w:val="18"/>
          <w:lang w:val="en"/>
        </w:rPr>
      </w:pPr>
      <w:r w:rsidRPr="005C4E06">
        <w:rPr>
          <w:rFonts w:ascii="Georgia" w:eastAsia="Times New Roman" w:hAnsi="Georgia" w:cs="Arial"/>
          <w:b/>
          <w:sz w:val="28"/>
          <w:szCs w:val="28"/>
          <w:lang w:val="en"/>
        </w:rPr>
        <w:t>Priority Group 6</w:t>
      </w:r>
      <w:r w:rsidR="0087635B">
        <w:rPr>
          <w:rFonts w:ascii="Georgia" w:eastAsia="Times New Roman" w:hAnsi="Georgia" w:cs="Arial"/>
          <w:b/>
          <w:sz w:val="28"/>
          <w:szCs w:val="28"/>
          <w:lang w:val="en"/>
        </w:rPr>
        <w:t xml:space="preserve">:                                                                                                           </w:t>
      </w:r>
      <w:r w:rsidRPr="005C4E06">
        <w:rPr>
          <w:rFonts w:ascii="Arial" w:eastAsia="Times New Roman" w:hAnsi="Arial" w:cs="Arial"/>
          <w:b/>
          <w:sz w:val="18"/>
          <w:szCs w:val="18"/>
          <w:lang w:val="en"/>
        </w:rPr>
        <w:t>Compensable 0% service-connected Veterans</w:t>
      </w:r>
      <w:r w:rsidR="0087635B">
        <w:rPr>
          <w:rFonts w:ascii="Arial" w:eastAsia="Times New Roman" w:hAnsi="Arial" w:cs="Arial"/>
          <w:b/>
          <w:sz w:val="18"/>
          <w:szCs w:val="18"/>
          <w:lang w:val="en"/>
        </w:rPr>
        <w:t xml:space="preserve">                                                                                                                             </w:t>
      </w:r>
      <w:proofErr w:type="spellStart"/>
      <w:r w:rsidRPr="005C4E06">
        <w:rPr>
          <w:rFonts w:ascii="Arial" w:eastAsia="Times New Roman" w:hAnsi="Arial" w:cs="Arial"/>
          <w:b/>
          <w:sz w:val="18"/>
          <w:szCs w:val="18"/>
          <w:lang w:val="en"/>
        </w:rPr>
        <w:t>Veterans</w:t>
      </w:r>
      <w:proofErr w:type="spellEnd"/>
      <w:r w:rsidRPr="005C4E06">
        <w:rPr>
          <w:rFonts w:ascii="Arial" w:eastAsia="Times New Roman" w:hAnsi="Arial" w:cs="Arial"/>
          <w:b/>
          <w:sz w:val="18"/>
          <w:szCs w:val="18"/>
          <w:lang w:val="en"/>
        </w:rPr>
        <w:t xml:space="preserve"> exposed to Ionizing Radiation during atmospheric testing or during the occupation of Hiroshima and Nagasaki</w:t>
      </w:r>
      <w:r w:rsidR="0087635B">
        <w:rPr>
          <w:rFonts w:ascii="Arial" w:eastAsia="Times New Roman" w:hAnsi="Arial" w:cs="Arial"/>
          <w:b/>
          <w:sz w:val="18"/>
          <w:szCs w:val="18"/>
          <w:lang w:val="en"/>
        </w:rPr>
        <w:t xml:space="preserve">                </w:t>
      </w:r>
      <w:r w:rsidRPr="005C4E06">
        <w:rPr>
          <w:rFonts w:ascii="Arial" w:eastAsia="Times New Roman" w:hAnsi="Arial" w:cs="Arial"/>
          <w:b/>
          <w:sz w:val="18"/>
          <w:szCs w:val="18"/>
          <w:lang w:val="en"/>
        </w:rPr>
        <w:t>Project 112/SHAD participants</w:t>
      </w:r>
      <w:r w:rsidR="0087635B">
        <w:rPr>
          <w:rFonts w:ascii="Arial" w:eastAsia="Times New Roman" w:hAnsi="Arial" w:cs="Arial"/>
          <w:b/>
          <w:sz w:val="18"/>
          <w:szCs w:val="18"/>
          <w:lang w:val="en"/>
        </w:rPr>
        <w:t xml:space="preserve">                                                                                                                                                      </w:t>
      </w:r>
      <w:r w:rsidRPr="005C4E06">
        <w:rPr>
          <w:rFonts w:ascii="Arial" w:eastAsia="Times New Roman" w:hAnsi="Arial" w:cs="Arial"/>
          <w:b/>
          <w:sz w:val="18"/>
          <w:szCs w:val="18"/>
          <w:lang w:val="en"/>
        </w:rPr>
        <w:t>Veterans who served in the Republic of Vietnam between January 9,1962 and May 7,1975</w:t>
      </w:r>
      <w:r w:rsidR="0087635B">
        <w:rPr>
          <w:rFonts w:ascii="Arial" w:eastAsia="Times New Roman" w:hAnsi="Arial" w:cs="Arial"/>
          <w:b/>
          <w:sz w:val="18"/>
          <w:szCs w:val="18"/>
          <w:lang w:val="en"/>
        </w:rPr>
        <w:t xml:space="preserve">                                                 </w:t>
      </w:r>
      <w:r w:rsidRPr="005C4E06">
        <w:rPr>
          <w:rFonts w:ascii="Arial" w:eastAsia="Times New Roman" w:hAnsi="Arial" w:cs="Arial"/>
          <w:b/>
          <w:sz w:val="18"/>
          <w:szCs w:val="18"/>
          <w:lang w:val="en"/>
        </w:rPr>
        <w:t>Veterans of the Persian Gulf War who served between August 2, 1990 and November 11, 1998</w:t>
      </w:r>
      <w:r w:rsidR="0087635B">
        <w:rPr>
          <w:rFonts w:ascii="Arial" w:eastAsia="Times New Roman" w:hAnsi="Arial" w:cs="Arial"/>
          <w:b/>
          <w:sz w:val="18"/>
          <w:szCs w:val="18"/>
          <w:lang w:val="en"/>
        </w:rPr>
        <w:t xml:space="preserve">                                           </w:t>
      </w:r>
      <w:r w:rsidRPr="005C4E06">
        <w:rPr>
          <w:rFonts w:ascii="Arial" w:eastAsia="Times New Roman" w:hAnsi="Arial" w:cs="Arial"/>
          <w:b/>
          <w:sz w:val="18"/>
          <w:szCs w:val="18"/>
          <w:lang w:val="en"/>
        </w:rPr>
        <w:t>Veterans who served on active duty at Camp Lejeune for at least 30 days between August 1, 1953 and December 31, 1987</w:t>
      </w:r>
      <w:r w:rsidR="0087635B">
        <w:rPr>
          <w:rFonts w:ascii="Arial" w:eastAsia="Times New Roman" w:hAnsi="Arial" w:cs="Arial"/>
          <w:b/>
          <w:sz w:val="18"/>
          <w:szCs w:val="18"/>
          <w:lang w:val="en"/>
        </w:rPr>
        <w:t xml:space="preserve">        </w:t>
      </w:r>
      <w:r w:rsidRPr="005C4E06">
        <w:rPr>
          <w:rFonts w:ascii="Arial" w:eastAsia="Times New Roman" w:hAnsi="Arial" w:cs="Arial"/>
          <w:b/>
          <w:sz w:val="18"/>
          <w:szCs w:val="18"/>
          <w:lang w:val="en"/>
        </w:rPr>
        <w:t>Currently enrolled Veterans and new enrollees who served in a theater of combat operations after November 11, 1998 and those who were discharged from active duty on or after January 28, 2003, are eligible for the enhanced benefits for five years post discharge.</w:t>
      </w:r>
    </w:p>
    <w:p w:rsidR="005C4E06" w:rsidRPr="005C4E06" w:rsidRDefault="005C4E06" w:rsidP="008D1FAC">
      <w:pPr>
        <w:shd w:val="clear" w:color="auto" w:fill="FFFFFF"/>
        <w:spacing w:before="300" w:after="0" w:line="240" w:lineRule="auto"/>
        <w:outlineLvl w:val="1"/>
        <w:rPr>
          <w:rFonts w:ascii="Arial" w:eastAsia="Times New Roman" w:hAnsi="Arial" w:cs="Arial"/>
          <w:b/>
          <w:sz w:val="18"/>
          <w:szCs w:val="18"/>
          <w:lang w:val="en"/>
        </w:rPr>
      </w:pPr>
      <w:r w:rsidRPr="005C4E06">
        <w:rPr>
          <w:rFonts w:ascii="Georgia" w:eastAsia="Times New Roman" w:hAnsi="Georgia" w:cs="Arial"/>
          <w:b/>
          <w:sz w:val="28"/>
          <w:szCs w:val="28"/>
          <w:lang w:val="en"/>
        </w:rPr>
        <w:t>Priority Group 7</w:t>
      </w:r>
      <w:r w:rsidR="008D1FAC">
        <w:rPr>
          <w:rFonts w:ascii="Georgia" w:eastAsia="Times New Roman" w:hAnsi="Georgia" w:cs="Arial"/>
          <w:b/>
          <w:sz w:val="28"/>
          <w:szCs w:val="28"/>
          <w:lang w:val="en"/>
        </w:rPr>
        <w:t xml:space="preserve">: </w:t>
      </w:r>
      <w:r w:rsidRPr="005C4E06">
        <w:rPr>
          <w:rFonts w:ascii="Arial" w:eastAsia="Times New Roman" w:hAnsi="Arial" w:cs="Arial"/>
          <w:b/>
          <w:sz w:val="18"/>
          <w:szCs w:val="18"/>
          <w:lang w:val="en"/>
        </w:rPr>
        <w:t>Veterans with gross household income below the geographically-adjusted income limits (GMT) for their resident location and who agree to pay copays</w:t>
      </w:r>
    </w:p>
    <w:p w:rsidR="005C4E06" w:rsidRPr="00C816BA" w:rsidRDefault="005C4E06" w:rsidP="008D1FAC">
      <w:pPr>
        <w:shd w:val="clear" w:color="auto" w:fill="FFFFFF"/>
        <w:spacing w:before="300" w:after="0" w:line="240" w:lineRule="auto"/>
        <w:outlineLvl w:val="1"/>
        <w:rPr>
          <w:rFonts w:ascii="Times New Roman" w:eastAsia="Times New Roman" w:hAnsi="Times New Roman" w:cs="Times New Roman"/>
          <w:b/>
        </w:rPr>
      </w:pPr>
      <w:r w:rsidRPr="005C4E06">
        <w:rPr>
          <w:rFonts w:ascii="Georgia" w:eastAsia="Times New Roman" w:hAnsi="Georgia" w:cs="Arial"/>
          <w:b/>
          <w:sz w:val="28"/>
          <w:szCs w:val="28"/>
          <w:lang w:val="en"/>
        </w:rPr>
        <w:t>Priority Group 8</w:t>
      </w:r>
      <w:r w:rsidR="008D1FAC">
        <w:rPr>
          <w:rFonts w:ascii="Georgia" w:eastAsia="Times New Roman" w:hAnsi="Georgia" w:cs="Arial"/>
          <w:b/>
          <w:sz w:val="28"/>
          <w:szCs w:val="28"/>
          <w:lang w:val="en"/>
        </w:rPr>
        <w:t xml:space="preserve">: </w:t>
      </w:r>
      <w:r w:rsidRPr="005C4E06">
        <w:rPr>
          <w:rFonts w:ascii="Arial" w:eastAsia="Times New Roman" w:hAnsi="Arial" w:cs="Arial"/>
          <w:b/>
          <w:sz w:val="18"/>
          <w:szCs w:val="18"/>
          <w:lang w:val="en"/>
        </w:rPr>
        <w:t>Veterans with gross household income above the VA and the geographically-adjusted income limits for their resident location and who agrees to pay copays</w:t>
      </w:r>
      <w:r w:rsidR="008D1FAC">
        <w:rPr>
          <w:rFonts w:ascii="Arial" w:eastAsia="Times New Roman" w:hAnsi="Arial" w:cs="Arial"/>
          <w:b/>
          <w:sz w:val="18"/>
          <w:szCs w:val="18"/>
          <w:lang w:val="en"/>
        </w:rPr>
        <w:t xml:space="preserve">.   </w:t>
      </w:r>
      <w:r w:rsidRPr="005C4E06">
        <w:rPr>
          <w:rFonts w:ascii="Arial" w:eastAsia="Times New Roman" w:hAnsi="Arial" w:cs="Arial"/>
          <w:b/>
          <w:bCs/>
          <w:sz w:val="18"/>
          <w:szCs w:val="18"/>
          <w:lang w:val="en"/>
        </w:rPr>
        <w:t xml:space="preserve">Veterans </w:t>
      </w:r>
      <w:r w:rsidRPr="005C4E06">
        <w:rPr>
          <w:rFonts w:ascii="Arial" w:eastAsia="Times New Roman" w:hAnsi="Arial" w:cs="Arial"/>
          <w:b/>
          <w:bCs/>
          <w:sz w:val="18"/>
          <w:szCs w:val="18"/>
          <w:u w:val="single"/>
          <w:lang w:val="en"/>
        </w:rPr>
        <w:t>eligible</w:t>
      </w:r>
      <w:r w:rsidRPr="005C4E06">
        <w:rPr>
          <w:rFonts w:ascii="Arial" w:eastAsia="Times New Roman" w:hAnsi="Arial" w:cs="Arial"/>
          <w:b/>
          <w:bCs/>
          <w:sz w:val="18"/>
          <w:szCs w:val="18"/>
          <w:lang w:val="en"/>
        </w:rPr>
        <w:t xml:space="preserve"> for enrollment:</w:t>
      </w:r>
      <w:r w:rsidR="008D1FAC" w:rsidRPr="008D1FAC">
        <w:rPr>
          <w:rFonts w:ascii="Arial" w:eastAsia="Times New Roman" w:hAnsi="Arial" w:cs="Arial"/>
          <w:b/>
          <w:bCs/>
          <w:sz w:val="18"/>
          <w:szCs w:val="18"/>
          <w:lang w:val="en"/>
        </w:rPr>
        <w:t xml:space="preserve">  </w:t>
      </w:r>
      <w:proofErr w:type="spellStart"/>
      <w:r w:rsidRPr="005C4E06">
        <w:rPr>
          <w:rFonts w:ascii="Arial" w:eastAsia="Times New Roman" w:hAnsi="Arial" w:cs="Arial"/>
          <w:b/>
          <w:sz w:val="18"/>
          <w:szCs w:val="18"/>
          <w:lang w:val="en"/>
        </w:rPr>
        <w:t>Nonc</w:t>
      </w:r>
      <w:r w:rsidR="008D1FAC" w:rsidRPr="008D1FAC">
        <w:rPr>
          <w:rFonts w:ascii="Arial" w:eastAsia="Times New Roman" w:hAnsi="Arial" w:cs="Arial"/>
          <w:b/>
          <w:sz w:val="18"/>
          <w:szCs w:val="18"/>
          <w:lang w:val="en"/>
        </w:rPr>
        <w:t>ompensable</w:t>
      </w:r>
      <w:proofErr w:type="spellEnd"/>
      <w:r w:rsidR="008D1FAC" w:rsidRPr="008D1FAC">
        <w:rPr>
          <w:rFonts w:ascii="Arial" w:eastAsia="Times New Roman" w:hAnsi="Arial" w:cs="Arial"/>
          <w:b/>
          <w:sz w:val="18"/>
          <w:szCs w:val="18"/>
          <w:lang w:val="en"/>
        </w:rPr>
        <w:t xml:space="preserve"> 0% service-connected or meeting the financial criteria</w:t>
      </w:r>
      <w:r w:rsidR="008D1FAC">
        <w:rPr>
          <w:rFonts w:ascii="Arial" w:eastAsia="Times New Roman" w:hAnsi="Arial" w:cs="Arial"/>
          <w:b/>
          <w:sz w:val="18"/>
          <w:szCs w:val="18"/>
          <w:lang w:val="en"/>
        </w:rPr>
        <w:t>.</w:t>
      </w:r>
    </w:p>
    <w:p w:rsidR="001E3B2D" w:rsidRDefault="001E3B2D" w:rsidP="002450D5">
      <w:pPr>
        <w:shd w:val="clear" w:color="auto" w:fill="FFFFFF"/>
        <w:spacing w:after="0" w:line="240" w:lineRule="auto"/>
        <w:jc w:val="center"/>
        <w:outlineLvl w:val="1"/>
        <w:rPr>
          <w:rFonts w:ascii="Georgia" w:eastAsia="Times New Roman" w:hAnsi="Georgia" w:cs="Arial"/>
          <w:b/>
          <w:sz w:val="28"/>
          <w:szCs w:val="28"/>
          <w:u w:val="single"/>
        </w:rPr>
      </w:pPr>
    </w:p>
    <w:p w:rsidR="002450D5" w:rsidRPr="003213FE" w:rsidRDefault="002450D5" w:rsidP="002450D5">
      <w:pPr>
        <w:shd w:val="clear" w:color="auto" w:fill="FFFFFF"/>
        <w:spacing w:after="0" w:line="240" w:lineRule="auto"/>
        <w:jc w:val="center"/>
        <w:outlineLvl w:val="1"/>
        <w:rPr>
          <w:rFonts w:ascii="Georgia" w:eastAsia="Times New Roman" w:hAnsi="Georgia" w:cs="Arial"/>
          <w:b/>
          <w:sz w:val="28"/>
          <w:szCs w:val="28"/>
          <w:u w:val="single"/>
        </w:rPr>
      </w:pPr>
      <w:r w:rsidRPr="003213FE">
        <w:rPr>
          <w:rFonts w:ascii="Georgia" w:eastAsia="Times New Roman" w:hAnsi="Georgia" w:cs="Arial"/>
          <w:b/>
          <w:sz w:val="28"/>
          <w:szCs w:val="28"/>
          <w:u w:val="single"/>
        </w:rPr>
        <w:t>Health Benefits Copay Rates for 201</w:t>
      </w:r>
      <w:r w:rsidR="005C4E06">
        <w:rPr>
          <w:rFonts w:ascii="Georgia" w:eastAsia="Times New Roman" w:hAnsi="Georgia" w:cs="Arial"/>
          <w:b/>
          <w:sz w:val="28"/>
          <w:szCs w:val="28"/>
          <w:u w:val="single"/>
        </w:rPr>
        <w:t>7</w:t>
      </w:r>
    </w:p>
    <w:tbl>
      <w:tblPr>
        <w:tblW w:w="4950" w:type="pct"/>
        <w:jc w:val="center"/>
        <w:tblCellMar>
          <w:left w:w="0" w:type="dxa"/>
          <w:right w:w="0" w:type="dxa"/>
        </w:tblCellMar>
        <w:tblLook w:val="04A0" w:firstRow="1" w:lastRow="0" w:firstColumn="1" w:lastColumn="0" w:noHBand="0" w:noVBand="1"/>
      </w:tblPr>
      <w:tblGrid>
        <w:gridCol w:w="10684"/>
        <w:gridCol w:w="186"/>
      </w:tblGrid>
      <w:tr w:rsidR="002450D5" w:rsidRPr="003213FE" w:rsidTr="00CF4B25">
        <w:trPr>
          <w:jc w:val="center"/>
        </w:trPr>
        <w:tc>
          <w:tcPr>
            <w:tcW w:w="0" w:type="auto"/>
            <w:tcBorders>
              <w:bottom w:val="nil"/>
              <w:right w:val="nil"/>
            </w:tcBorders>
            <w:tcMar>
              <w:top w:w="90" w:type="dxa"/>
              <w:left w:w="90" w:type="dxa"/>
              <w:bottom w:w="90" w:type="dxa"/>
              <w:right w:w="90" w:type="dxa"/>
            </w:tcMar>
            <w:vAlign w:val="center"/>
            <w:hideMark/>
          </w:tcPr>
          <w:p w:rsidR="002450D5" w:rsidRPr="001240D2" w:rsidRDefault="001240D2">
            <w:pPr>
              <w:rPr>
                <w:b/>
                <w:sz w:val="28"/>
                <w:szCs w:val="28"/>
                <w:u w:val="single"/>
              </w:rPr>
            </w:pPr>
            <w:r w:rsidRPr="001240D2">
              <w:rPr>
                <w:b/>
                <w:sz w:val="28"/>
                <w:szCs w:val="28"/>
                <w:u w:val="single"/>
              </w:rPr>
              <w:t>MEDICATIONS</w:t>
            </w:r>
            <w:r w:rsidR="00B32355">
              <w:rPr>
                <w:b/>
                <w:sz w:val="28"/>
                <w:szCs w:val="28"/>
                <w:u w:val="single"/>
              </w:rPr>
              <w:t>: Effective 27 Feb 2017</w:t>
            </w:r>
          </w:p>
          <w:p w:rsidR="00B32355" w:rsidRDefault="00B32355">
            <w:pPr>
              <w:rPr>
                <w:b/>
                <w:sz w:val="24"/>
                <w:szCs w:val="24"/>
              </w:rPr>
            </w:pPr>
            <w:r w:rsidRPr="00364008">
              <w:rPr>
                <w:b/>
                <w:sz w:val="24"/>
                <w:szCs w:val="24"/>
                <w:u w:val="single"/>
              </w:rPr>
              <w:t>No Copay</w:t>
            </w:r>
            <w:r>
              <w:rPr>
                <w:b/>
                <w:sz w:val="24"/>
                <w:szCs w:val="24"/>
              </w:rPr>
              <w:t xml:space="preserve">:  Veterans in </w:t>
            </w:r>
            <w:r w:rsidRPr="00364008">
              <w:rPr>
                <w:b/>
                <w:sz w:val="24"/>
                <w:szCs w:val="24"/>
                <w:u w:val="single"/>
              </w:rPr>
              <w:t>Priority Group 1</w:t>
            </w:r>
            <w:r>
              <w:rPr>
                <w:b/>
                <w:sz w:val="24"/>
                <w:szCs w:val="24"/>
              </w:rPr>
              <w:t xml:space="preserve"> do not pay for medications.</w:t>
            </w:r>
          </w:p>
          <w:p w:rsidR="002450D5" w:rsidRDefault="001240D2">
            <w:pPr>
              <w:rPr>
                <w:b/>
                <w:sz w:val="24"/>
                <w:szCs w:val="24"/>
              </w:rPr>
            </w:pPr>
            <w:r w:rsidRPr="001240D2">
              <w:rPr>
                <w:b/>
                <w:sz w:val="24"/>
                <w:szCs w:val="24"/>
              </w:rPr>
              <w:t>$</w:t>
            </w:r>
            <w:r w:rsidR="00B32355">
              <w:rPr>
                <w:b/>
                <w:sz w:val="24"/>
                <w:szCs w:val="24"/>
              </w:rPr>
              <w:t>5</w:t>
            </w:r>
            <w:r w:rsidRPr="001240D2">
              <w:rPr>
                <w:b/>
                <w:sz w:val="24"/>
                <w:szCs w:val="24"/>
              </w:rPr>
              <w:t>.00 Copay:   Veterans in Priority Groups 2-</w:t>
            </w:r>
            <w:r w:rsidR="00B32355">
              <w:rPr>
                <w:b/>
                <w:sz w:val="24"/>
                <w:szCs w:val="24"/>
              </w:rPr>
              <w:t>8</w:t>
            </w:r>
            <w:r w:rsidRPr="001240D2">
              <w:rPr>
                <w:b/>
                <w:sz w:val="24"/>
                <w:szCs w:val="24"/>
              </w:rPr>
              <w:t>, for each 30 day or less supply of medication</w:t>
            </w:r>
            <w:r w:rsidR="00B32355">
              <w:rPr>
                <w:b/>
                <w:sz w:val="24"/>
                <w:szCs w:val="24"/>
              </w:rPr>
              <w:t xml:space="preserve"> </w:t>
            </w:r>
            <w:r w:rsidR="007175ED">
              <w:rPr>
                <w:b/>
                <w:sz w:val="24"/>
                <w:szCs w:val="24"/>
              </w:rPr>
              <w:t xml:space="preserve">                    </w:t>
            </w:r>
            <w:r w:rsidR="00B32355">
              <w:rPr>
                <w:b/>
                <w:sz w:val="24"/>
                <w:szCs w:val="24"/>
              </w:rPr>
              <w:t>(Tier 1-Preferred Generics)</w:t>
            </w:r>
            <w:r w:rsidRPr="001240D2">
              <w:rPr>
                <w:b/>
                <w:sz w:val="24"/>
                <w:szCs w:val="24"/>
              </w:rPr>
              <w:t xml:space="preserve"> for treatment of a non-service connected condition.  </w:t>
            </w:r>
          </w:p>
          <w:p w:rsidR="007175ED" w:rsidRDefault="001240D2" w:rsidP="007175ED">
            <w:pPr>
              <w:rPr>
                <w:b/>
                <w:sz w:val="24"/>
                <w:szCs w:val="24"/>
              </w:rPr>
            </w:pPr>
            <w:r>
              <w:rPr>
                <w:b/>
                <w:sz w:val="24"/>
                <w:szCs w:val="24"/>
              </w:rPr>
              <w:t>$</w:t>
            </w:r>
            <w:r w:rsidR="00B32355">
              <w:rPr>
                <w:b/>
                <w:sz w:val="24"/>
                <w:szCs w:val="24"/>
              </w:rPr>
              <w:t>8</w:t>
            </w:r>
            <w:r>
              <w:rPr>
                <w:b/>
                <w:sz w:val="24"/>
                <w:szCs w:val="24"/>
              </w:rPr>
              <w:t xml:space="preserve">.00 Copay:   Veterans in Priority Groups </w:t>
            </w:r>
            <w:r w:rsidR="00B32355">
              <w:rPr>
                <w:b/>
                <w:sz w:val="24"/>
                <w:szCs w:val="24"/>
              </w:rPr>
              <w:t>2</w:t>
            </w:r>
            <w:r>
              <w:rPr>
                <w:b/>
                <w:sz w:val="24"/>
                <w:szCs w:val="24"/>
              </w:rPr>
              <w:t>-8, for each 30-day or less supply of medication</w:t>
            </w:r>
            <w:r w:rsidR="00B32355">
              <w:rPr>
                <w:b/>
                <w:sz w:val="24"/>
                <w:szCs w:val="24"/>
              </w:rPr>
              <w:t xml:space="preserve"> </w:t>
            </w:r>
            <w:r w:rsidR="007175ED">
              <w:rPr>
                <w:b/>
                <w:sz w:val="24"/>
                <w:szCs w:val="24"/>
              </w:rPr>
              <w:t xml:space="preserve">                       </w:t>
            </w:r>
            <w:r w:rsidR="00B32355">
              <w:rPr>
                <w:b/>
                <w:sz w:val="24"/>
                <w:szCs w:val="24"/>
              </w:rPr>
              <w:t xml:space="preserve">(Tier 2 </w:t>
            </w:r>
            <w:r w:rsidR="007175ED">
              <w:rPr>
                <w:b/>
                <w:sz w:val="24"/>
                <w:szCs w:val="24"/>
              </w:rPr>
              <w:t xml:space="preserve">- </w:t>
            </w:r>
            <w:r w:rsidR="00B32355">
              <w:rPr>
                <w:b/>
                <w:sz w:val="24"/>
                <w:szCs w:val="24"/>
              </w:rPr>
              <w:t>Non-Preferred Generics &amp; some OTC)</w:t>
            </w:r>
            <w:r>
              <w:rPr>
                <w:b/>
                <w:sz w:val="24"/>
                <w:szCs w:val="24"/>
              </w:rPr>
              <w:t xml:space="preserve"> for treatment of non-service connected conditions.   </w:t>
            </w:r>
          </w:p>
          <w:p w:rsidR="007175ED" w:rsidRDefault="007175ED" w:rsidP="007175ED">
            <w:pPr>
              <w:rPr>
                <w:b/>
                <w:sz w:val="24"/>
                <w:szCs w:val="24"/>
              </w:rPr>
            </w:pPr>
            <w:r>
              <w:rPr>
                <w:b/>
                <w:sz w:val="24"/>
                <w:szCs w:val="24"/>
              </w:rPr>
              <w:t xml:space="preserve">$9.00 Copay: Veterans in Priority Groups 2-8, for each 30-day or less supply of medication                     (Tier 3 - Brand Name) </w:t>
            </w:r>
            <w:r>
              <w:rPr>
                <w:b/>
                <w:sz w:val="24"/>
                <w:szCs w:val="24"/>
              </w:rPr>
              <w:t xml:space="preserve">for treatment of non-service connected conditions.   </w:t>
            </w:r>
          </w:p>
          <w:p w:rsidR="00B32355" w:rsidRDefault="00B32355">
            <w:pPr>
              <w:rPr>
                <w:b/>
                <w:sz w:val="24"/>
                <w:szCs w:val="24"/>
              </w:rPr>
            </w:pPr>
            <w:r w:rsidRPr="008D531E">
              <w:rPr>
                <w:b/>
                <w:i/>
                <w:sz w:val="24"/>
                <w:szCs w:val="24"/>
              </w:rPr>
              <w:t>Veterans in Priority Groups 2-</w:t>
            </w:r>
            <w:r w:rsidR="008D531E" w:rsidRPr="008D531E">
              <w:rPr>
                <w:b/>
                <w:i/>
                <w:sz w:val="24"/>
                <w:szCs w:val="24"/>
              </w:rPr>
              <w:t>8</w:t>
            </w:r>
            <w:r w:rsidRPr="008D531E">
              <w:rPr>
                <w:b/>
                <w:i/>
                <w:sz w:val="24"/>
                <w:szCs w:val="24"/>
              </w:rPr>
              <w:t xml:space="preserve"> are limited to $</w:t>
            </w:r>
            <w:r w:rsidR="008D531E" w:rsidRPr="008D531E">
              <w:rPr>
                <w:b/>
                <w:i/>
                <w:sz w:val="24"/>
                <w:szCs w:val="24"/>
              </w:rPr>
              <w:t>700</w:t>
            </w:r>
            <w:r w:rsidRPr="008D531E">
              <w:rPr>
                <w:b/>
                <w:i/>
                <w:sz w:val="24"/>
                <w:szCs w:val="24"/>
              </w:rPr>
              <w:t xml:space="preserve"> annual cap.</w:t>
            </w:r>
          </w:p>
          <w:p w:rsidR="003555D4" w:rsidRDefault="003555D4">
            <w:pPr>
              <w:rPr>
                <w:b/>
                <w:sz w:val="28"/>
                <w:szCs w:val="28"/>
              </w:rPr>
            </w:pPr>
            <w:r w:rsidRPr="003555D4">
              <w:rPr>
                <w:b/>
                <w:sz w:val="28"/>
                <w:szCs w:val="28"/>
                <w:u w:val="single"/>
              </w:rPr>
              <w:t>OUTPATIENT SERVICES</w:t>
            </w:r>
          </w:p>
          <w:p w:rsidR="003555D4" w:rsidRDefault="003555D4">
            <w:pPr>
              <w:rPr>
                <w:b/>
                <w:sz w:val="24"/>
                <w:szCs w:val="24"/>
              </w:rPr>
            </w:pPr>
            <w:r>
              <w:rPr>
                <w:b/>
                <w:sz w:val="24"/>
                <w:szCs w:val="24"/>
              </w:rPr>
              <w:t>$15 Copay per visit: Basic Care Services provided by a primary care clinician.  (does not apply if in priority group 6 and treated for a service connected disability).</w:t>
            </w:r>
          </w:p>
          <w:p w:rsidR="003555D4" w:rsidRDefault="003555D4">
            <w:pPr>
              <w:rPr>
                <w:b/>
                <w:sz w:val="24"/>
                <w:szCs w:val="24"/>
              </w:rPr>
            </w:pPr>
            <w:r>
              <w:rPr>
                <w:b/>
                <w:sz w:val="24"/>
                <w:szCs w:val="24"/>
              </w:rPr>
              <w:t xml:space="preserve">$50 Copay per visit: Specialty Care Services provided by a clinical specialist (such as surgeon, radiologist, audiologist, optometrist, cardiologist, specialty tests – MRI, CAT Scan, </w:t>
            </w:r>
            <w:r w:rsidR="00ED14E8">
              <w:rPr>
                <w:b/>
                <w:sz w:val="24"/>
                <w:szCs w:val="24"/>
              </w:rPr>
              <w:t>etc.</w:t>
            </w:r>
            <w:r>
              <w:rPr>
                <w:b/>
                <w:sz w:val="24"/>
                <w:szCs w:val="24"/>
              </w:rPr>
              <w:t>).</w:t>
            </w:r>
          </w:p>
          <w:p w:rsidR="001E3B2D" w:rsidRDefault="001E3B2D">
            <w:pPr>
              <w:rPr>
                <w:b/>
                <w:sz w:val="24"/>
                <w:szCs w:val="24"/>
              </w:rPr>
            </w:pPr>
            <w:r>
              <w:rPr>
                <w:b/>
                <w:sz w:val="24"/>
                <w:szCs w:val="24"/>
              </w:rPr>
              <w:t xml:space="preserve">No Copay for Priority Groups 1 </w:t>
            </w:r>
            <w:r w:rsidR="00BC33BC">
              <w:rPr>
                <w:b/>
                <w:sz w:val="24"/>
                <w:szCs w:val="24"/>
              </w:rPr>
              <w:t>–</w:t>
            </w:r>
            <w:r>
              <w:rPr>
                <w:b/>
                <w:sz w:val="24"/>
                <w:szCs w:val="24"/>
              </w:rPr>
              <w:t xml:space="preserve"> 5</w:t>
            </w:r>
          </w:p>
          <w:p w:rsidR="007175ED" w:rsidRPr="003213FE" w:rsidRDefault="00BC33BC" w:rsidP="007175ED">
            <w:pPr>
              <w:rPr>
                <w:rFonts w:ascii="Georgia" w:eastAsia="Times New Roman" w:hAnsi="Georgia" w:cs="Arial"/>
                <w:sz w:val="28"/>
                <w:szCs w:val="28"/>
              </w:rPr>
            </w:pPr>
            <w:r w:rsidRPr="001E3B2D">
              <w:rPr>
                <w:b/>
                <w:sz w:val="28"/>
                <w:szCs w:val="28"/>
                <w:u w:val="single"/>
              </w:rPr>
              <w:t>INPATIENT SERVICES</w:t>
            </w:r>
            <w:r w:rsidRPr="001E3B2D">
              <w:rPr>
                <w:b/>
                <w:sz w:val="28"/>
                <w:szCs w:val="28"/>
              </w:rPr>
              <w:t xml:space="preserve">:     </w:t>
            </w:r>
            <w:r>
              <w:rPr>
                <w:b/>
                <w:sz w:val="24"/>
                <w:szCs w:val="24"/>
              </w:rPr>
              <w:t>Priority Groups 7 and 8 should verify rates with the VA Eligibility Office.</w:t>
            </w:r>
          </w:p>
        </w:tc>
        <w:tc>
          <w:tcPr>
            <w:tcW w:w="0" w:type="auto"/>
            <w:tcBorders>
              <w:bottom w:val="nil"/>
              <w:right w:val="nil"/>
            </w:tcBorders>
            <w:tcMar>
              <w:top w:w="90" w:type="dxa"/>
              <w:left w:w="90" w:type="dxa"/>
              <w:bottom w:w="90" w:type="dxa"/>
              <w:right w:w="90" w:type="dxa"/>
            </w:tcMar>
            <w:hideMark/>
          </w:tcPr>
          <w:p w:rsidR="002450D5" w:rsidRPr="003213FE" w:rsidRDefault="002450D5" w:rsidP="00CF4B25">
            <w:pPr>
              <w:spacing w:before="180" w:after="180" w:line="360" w:lineRule="atLeast"/>
              <w:jc w:val="right"/>
              <w:outlineLvl w:val="2"/>
              <w:rPr>
                <w:rFonts w:ascii="Georgia" w:eastAsia="Times New Roman" w:hAnsi="Georgia" w:cs="Arial"/>
                <w:sz w:val="23"/>
                <w:szCs w:val="23"/>
              </w:rPr>
            </w:pPr>
          </w:p>
          <w:p w:rsidR="002450D5" w:rsidRPr="003213FE" w:rsidRDefault="002450D5" w:rsidP="00CF4B25">
            <w:pPr>
              <w:spacing w:before="180" w:after="180" w:line="360" w:lineRule="atLeast"/>
              <w:jc w:val="right"/>
              <w:outlineLvl w:val="2"/>
              <w:rPr>
                <w:rFonts w:ascii="Georgia" w:eastAsia="Times New Roman" w:hAnsi="Georgia" w:cs="Arial"/>
                <w:sz w:val="23"/>
                <w:szCs w:val="23"/>
              </w:rPr>
            </w:pPr>
          </w:p>
          <w:p w:rsidR="002450D5" w:rsidRPr="003213FE" w:rsidRDefault="002450D5" w:rsidP="00CF4B25">
            <w:pPr>
              <w:spacing w:before="180" w:after="180" w:line="360" w:lineRule="atLeast"/>
              <w:jc w:val="right"/>
              <w:outlineLvl w:val="2"/>
              <w:rPr>
                <w:rFonts w:ascii="Georgia" w:eastAsia="Times New Roman" w:hAnsi="Georgia" w:cs="Arial"/>
                <w:sz w:val="23"/>
                <w:szCs w:val="23"/>
              </w:rPr>
            </w:pPr>
          </w:p>
          <w:p w:rsidR="002450D5" w:rsidRPr="003213FE" w:rsidRDefault="002450D5" w:rsidP="00CF4B25">
            <w:pPr>
              <w:spacing w:before="180" w:after="180" w:line="360" w:lineRule="atLeast"/>
              <w:jc w:val="right"/>
              <w:outlineLvl w:val="2"/>
              <w:rPr>
                <w:rFonts w:ascii="Georgia" w:eastAsia="Times New Roman" w:hAnsi="Georgia" w:cs="Arial"/>
                <w:sz w:val="23"/>
                <w:szCs w:val="23"/>
              </w:rPr>
            </w:pPr>
          </w:p>
          <w:p w:rsidR="002450D5" w:rsidRPr="003213FE" w:rsidRDefault="002450D5" w:rsidP="00CF4B25">
            <w:pPr>
              <w:spacing w:before="180" w:after="180" w:line="360" w:lineRule="atLeast"/>
              <w:jc w:val="right"/>
              <w:outlineLvl w:val="2"/>
              <w:rPr>
                <w:rFonts w:ascii="Georgia" w:eastAsia="Times New Roman" w:hAnsi="Georgia" w:cs="Arial"/>
                <w:sz w:val="23"/>
                <w:szCs w:val="23"/>
              </w:rPr>
            </w:pPr>
          </w:p>
          <w:p w:rsidR="002450D5" w:rsidRPr="003213FE" w:rsidRDefault="002450D5" w:rsidP="00CF4B25">
            <w:pPr>
              <w:spacing w:before="180" w:after="180" w:line="360" w:lineRule="atLeast"/>
              <w:jc w:val="right"/>
              <w:outlineLvl w:val="2"/>
              <w:rPr>
                <w:rFonts w:ascii="Georgia" w:eastAsia="Times New Roman" w:hAnsi="Georgia" w:cs="Arial"/>
                <w:sz w:val="23"/>
                <w:szCs w:val="23"/>
              </w:rPr>
            </w:pPr>
          </w:p>
          <w:p w:rsidR="002450D5" w:rsidRPr="003213FE" w:rsidRDefault="002450D5" w:rsidP="00CF4B25">
            <w:pPr>
              <w:spacing w:before="180" w:after="180" w:line="360" w:lineRule="atLeast"/>
              <w:jc w:val="right"/>
              <w:outlineLvl w:val="2"/>
              <w:rPr>
                <w:rFonts w:ascii="Georgia" w:eastAsia="Times New Roman" w:hAnsi="Georgia" w:cs="Arial"/>
                <w:sz w:val="23"/>
                <w:szCs w:val="23"/>
              </w:rPr>
            </w:pPr>
          </w:p>
          <w:p w:rsidR="002450D5" w:rsidRPr="003213FE" w:rsidRDefault="002450D5" w:rsidP="00CF4B25">
            <w:pPr>
              <w:spacing w:before="180" w:after="180" w:line="360" w:lineRule="atLeast"/>
              <w:jc w:val="right"/>
              <w:outlineLvl w:val="2"/>
              <w:rPr>
                <w:rFonts w:ascii="Georgia" w:eastAsia="Times New Roman" w:hAnsi="Georgia" w:cs="Arial"/>
                <w:sz w:val="23"/>
                <w:szCs w:val="23"/>
              </w:rPr>
            </w:pPr>
          </w:p>
          <w:p w:rsidR="002450D5" w:rsidRPr="003213FE" w:rsidRDefault="002450D5" w:rsidP="00CF4B25">
            <w:pPr>
              <w:spacing w:before="180" w:after="180" w:line="360" w:lineRule="atLeast"/>
              <w:jc w:val="right"/>
              <w:outlineLvl w:val="2"/>
              <w:rPr>
                <w:rFonts w:ascii="Georgia" w:eastAsia="Times New Roman" w:hAnsi="Georgia" w:cs="Arial"/>
                <w:sz w:val="23"/>
                <w:szCs w:val="23"/>
              </w:rPr>
            </w:pPr>
          </w:p>
        </w:tc>
      </w:tr>
    </w:tbl>
    <w:p w:rsidR="0074452A" w:rsidRPr="0058008C" w:rsidRDefault="0074452A">
      <w:pPr>
        <w:rPr>
          <w:b/>
          <w:sz w:val="28"/>
          <w:szCs w:val="28"/>
        </w:rPr>
      </w:pPr>
    </w:p>
    <w:sectPr w:rsidR="0074452A" w:rsidRPr="0058008C" w:rsidSect="00AD6C7C">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C65" w:rsidRDefault="00F11C65" w:rsidP="00ED14E8">
      <w:pPr>
        <w:spacing w:after="0" w:line="240" w:lineRule="auto"/>
      </w:pPr>
      <w:r>
        <w:separator/>
      </w:r>
    </w:p>
  </w:endnote>
  <w:endnote w:type="continuationSeparator" w:id="0">
    <w:p w:rsidR="00F11C65" w:rsidRDefault="00F11C65" w:rsidP="00ED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068589"/>
      <w:docPartObj>
        <w:docPartGallery w:val="Page Numbers (Bottom of Page)"/>
        <w:docPartUnique/>
      </w:docPartObj>
    </w:sdtPr>
    <w:sdtEndPr>
      <w:rPr>
        <w:noProof/>
      </w:rPr>
    </w:sdtEndPr>
    <w:sdtContent>
      <w:p w:rsidR="00ED14E8" w:rsidRDefault="00ED14E8">
        <w:pPr>
          <w:pStyle w:val="Footer"/>
          <w:jc w:val="center"/>
        </w:pPr>
        <w:r>
          <w:fldChar w:fldCharType="begin"/>
        </w:r>
        <w:r>
          <w:instrText xml:space="preserve"> PAGE   \* MERGEFORMAT </w:instrText>
        </w:r>
        <w:r>
          <w:fldChar w:fldCharType="separate"/>
        </w:r>
        <w:r w:rsidR="000F014C">
          <w:rPr>
            <w:noProof/>
          </w:rPr>
          <w:t>3</w:t>
        </w:r>
        <w:r>
          <w:rPr>
            <w:noProof/>
          </w:rPr>
          <w:fldChar w:fldCharType="end"/>
        </w:r>
      </w:p>
    </w:sdtContent>
  </w:sdt>
  <w:p w:rsidR="00ED14E8" w:rsidRDefault="00ED1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C65" w:rsidRDefault="00F11C65" w:rsidP="00ED14E8">
      <w:pPr>
        <w:spacing w:after="0" w:line="240" w:lineRule="auto"/>
      </w:pPr>
      <w:r>
        <w:separator/>
      </w:r>
    </w:p>
  </w:footnote>
  <w:footnote w:type="continuationSeparator" w:id="0">
    <w:p w:rsidR="00F11C65" w:rsidRDefault="00F11C65" w:rsidP="00ED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24CA"/>
    <w:multiLevelType w:val="multilevel"/>
    <w:tmpl w:val="3626C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1159C"/>
    <w:multiLevelType w:val="multilevel"/>
    <w:tmpl w:val="84B4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2620C"/>
    <w:multiLevelType w:val="multilevel"/>
    <w:tmpl w:val="716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C4111"/>
    <w:multiLevelType w:val="multilevel"/>
    <w:tmpl w:val="C920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D508C"/>
    <w:multiLevelType w:val="multilevel"/>
    <w:tmpl w:val="9378C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97944"/>
    <w:multiLevelType w:val="multilevel"/>
    <w:tmpl w:val="0CC8B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07E00"/>
    <w:multiLevelType w:val="multilevel"/>
    <w:tmpl w:val="40F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C01BC"/>
    <w:multiLevelType w:val="multilevel"/>
    <w:tmpl w:val="918AD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B5C3D"/>
    <w:multiLevelType w:val="multilevel"/>
    <w:tmpl w:val="9D2E6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C137B"/>
    <w:multiLevelType w:val="multilevel"/>
    <w:tmpl w:val="16F2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651E2"/>
    <w:multiLevelType w:val="multilevel"/>
    <w:tmpl w:val="18000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C00A7F"/>
    <w:multiLevelType w:val="hybridMultilevel"/>
    <w:tmpl w:val="4D062E98"/>
    <w:lvl w:ilvl="0" w:tplc="3DF662DE">
      <w:numFmt w:val="bullet"/>
      <w:lvlText w:val="-"/>
      <w:lvlJc w:val="left"/>
      <w:pPr>
        <w:ind w:left="420" w:hanging="360"/>
      </w:pPr>
      <w:rPr>
        <w:rFonts w:ascii="Georgia" w:eastAsia="Times New Roman" w:hAnsi="Georg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5C00C26"/>
    <w:multiLevelType w:val="multilevel"/>
    <w:tmpl w:val="82B606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E5CAD"/>
    <w:multiLevelType w:val="multilevel"/>
    <w:tmpl w:val="3CAA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6618D"/>
    <w:multiLevelType w:val="multilevel"/>
    <w:tmpl w:val="5A525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E3D76"/>
    <w:multiLevelType w:val="multilevel"/>
    <w:tmpl w:val="1E10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5259B"/>
    <w:multiLevelType w:val="multilevel"/>
    <w:tmpl w:val="BE288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015E46"/>
    <w:multiLevelType w:val="multilevel"/>
    <w:tmpl w:val="E4B695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218A1"/>
    <w:multiLevelType w:val="multilevel"/>
    <w:tmpl w:val="2CF8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140640"/>
    <w:multiLevelType w:val="multilevel"/>
    <w:tmpl w:val="D8F6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850DBD"/>
    <w:multiLevelType w:val="multilevel"/>
    <w:tmpl w:val="9D60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104FC2"/>
    <w:multiLevelType w:val="multilevel"/>
    <w:tmpl w:val="33A22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25325"/>
    <w:multiLevelType w:val="multilevel"/>
    <w:tmpl w:val="069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E18A1"/>
    <w:multiLevelType w:val="multilevel"/>
    <w:tmpl w:val="9EEE9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17"/>
  </w:num>
  <w:num w:numId="4">
    <w:abstractNumId w:val="7"/>
  </w:num>
  <w:num w:numId="5">
    <w:abstractNumId w:val="21"/>
  </w:num>
  <w:num w:numId="6">
    <w:abstractNumId w:val="12"/>
  </w:num>
  <w:num w:numId="7">
    <w:abstractNumId w:val="14"/>
  </w:num>
  <w:num w:numId="8">
    <w:abstractNumId w:val="5"/>
  </w:num>
  <w:num w:numId="9">
    <w:abstractNumId w:val="0"/>
  </w:num>
  <w:num w:numId="10">
    <w:abstractNumId w:val="16"/>
  </w:num>
  <w:num w:numId="11">
    <w:abstractNumId w:val="10"/>
  </w:num>
  <w:num w:numId="12">
    <w:abstractNumId w:val="8"/>
  </w:num>
  <w:num w:numId="13">
    <w:abstractNumId w:val="11"/>
  </w:num>
  <w:num w:numId="14">
    <w:abstractNumId w:val="13"/>
  </w:num>
  <w:num w:numId="15">
    <w:abstractNumId w:val="1"/>
  </w:num>
  <w:num w:numId="16">
    <w:abstractNumId w:val="19"/>
  </w:num>
  <w:num w:numId="17">
    <w:abstractNumId w:val="6"/>
  </w:num>
  <w:num w:numId="18">
    <w:abstractNumId w:val="22"/>
  </w:num>
  <w:num w:numId="19">
    <w:abstractNumId w:val="20"/>
  </w:num>
  <w:num w:numId="20">
    <w:abstractNumId w:val="9"/>
  </w:num>
  <w:num w:numId="21">
    <w:abstractNumId w:val="15"/>
  </w:num>
  <w:num w:numId="22">
    <w:abstractNumId w:val="18"/>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D9A"/>
    <w:rsid w:val="00002DCB"/>
    <w:rsid w:val="00004D47"/>
    <w:rsid w:val="000647CE"/>
    <w:rsid w:val="000677BB"/>
    <w:rsid w:val="000C667B"/>
    <w:rsid w:val="000C73CF"/>
    <w:rsid w:val="000C7746"/>
    <w:rsid w:val="000F014C"/>
    <w:rsid w:val="001017F2"/>
    <w:rsid w:val="001240D2"/>
    <w:rsid w:val="001472C1"/>
    <w:rsid w:val="001E3B2D"/>
    <w:rsid w:val="002240D6"/>
    <w:rsid w:val="0022445E"/>
    <w:rsid w:val="002450D5"/>
    <w:rsid w:val="002E1035"/>
    <w:rsid w:val="00302CB8"/>
    <w:rsid w:val="003555D4"/>
    <w:rsid w:val="00364008"/>
    <w:rsid w:val="00383D6E"/>
    <w:rsid w:val="003C0DA0"/>
    <w:rsid w:val="00400D6E"/>
    <w:rsid w:val="00440709"/>
    <w:rsid w:val="004E1031"/>
    <w:rsid w:val="00517CD2"/>
    <w:rsid w:val="0058008C"/>
    <w:rsid w:val="005B1272"/>
    <w:rsid w:val="005C4E06"/>
    <w:rsid w:val="0065468E"/>
    <w:rsid w:val="00676509"/>
    <w:rsid w:val="006B7590"/>
    <w:rsid w:val="006C2D46"/>
    <w:rsid w:val="007175ED"/>
    <w:rsid w:val="0074452A"/>
    <w:rsid w:val="007C0006"/>
    <w:rsid w:val="00861032"/>
    <w:rsid w:val="008648EC"/>
    <w:rsid w:val="0087635B"/>
    <w:rsid w:val="008810AD"/>
    <w:rsid w:val="008D1FAC"/>
    <w:rsid w:val="008D531E"/>
    <w:rsid w:val="0091640E"/>
    <w:rsid w:val="00986C50"/>
    <w:rsid w:val="009A32FD"/>
    <w:rsid w:val="009E54A4"/>
    <w:rsid w:val="00A662A4"/>
    <w:rsid w:val="00AC6CC5"/>
    <w:rsid w:val="00AD6C7C"/>
    <w:rsid w:val="00B176A3"/>
    <w:rsid w:val="00B32355"/>
    <w:rsid w:val="00B82D9A"/>
    <w:rsid w:val="00BC33BC"/>
    <w:rsid w:val="00BC7C0D"/>
    <w:rsid w:val="00C66D64"/>
    <w:rsid w:val="00C816BA"/>
    <w:rsid w:val="00C92850"/>
    <w:rsid w:val="00D945E2"/>
    <w:rsid w:val="00E20789"/>
    <w:rsid w:val="00E615C3"/>
    <w:rsid w:val="00E85A20"/>
    <w:rsid w:val="00EC0939"/>
    <w:rsid w:val="00ED14E8"/>
    <w:rsid w:val="00F02A80"/>
    <w:rsid w:val="00F11C65"/>
    <w:rsid w:val="00F64702"/>
    <w:rsid w:val="00F653A9"/>
    <w:rsid w:val="00FD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67E5B-6DC3-4854-B179-CE5555B0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9A"/>
    <w:rPr>
      <w:rFonts w:ascii="Tahoma" w:hAnsi="Tahoma" w:cs="Tahoma"/>
      <w:sz w:val="16"/>
      <w:szCs w:val="16"/>
    </w:rPr>
  </w:style>
  <w:style w:type="character" w:styleId="Strong">
    <w:name w:val="Strong"/>
    <w:basedOn w:val="DefaultParagraphFont"/>
    <w:uiPriority w:val="22"/>
    <w:qFormat/>
    <w:rsid w:val="0074452A"/>
    <w:rPr>
      <w:b/>
      <w:bCs/>
    </w:rPr>
  </w:style>
  <w:style w:type="character" w:styleId="Hyperlink">
    <w:name w:val="Hyperlink"/>
    <w:basedOn w:val="DefaultParagraphFont"/>
    <w:uiPriority w:val="99"/>
    <w:semiHidden/>
    <w:unhideWhenUsed/>
    <w:rsid w:val="00C92850"/>
    <w:rPr>
      <w:strike w:val="0"/>
      <w:dstrike w:val="0"/>
      <w:color w:val="0000FF"/>
      <w:u w:val="single"/>
      <w:effect w:val="none"/>
    </w:rPr>
  </w:style>
  <w:style w:type="character" w:styleId="Emphasis">
    <w:name w:val="Emphasis"/>
    <w:basedOn w:val="DefaultParagraphFont"/>
    <w:uiPriority w:val="20"/>
    <w:qFormat/>
    <w:rsid w:val="00C92850"/>
    <w:rPr>
      <w:i/>
      <w:iCs/>
    </w:rPr>
  </w:style>
  <w:style w:type="paragraph" w:styleId="ListParagraph">
    <w:name w:val="List Paragraph"/>
    <w:basedOn w:val="Normal"/>
    <w:uiPriority w:val="34"/>
    <w:qFormat/>
    <w:rsid w:val="002450D5"/>
    <w:pPr>
      <w:spacing w:after="160" w:line="259" w:lineRule="auto"/>
      <w:ind w:left="720"/>
      <w:contextualSpacing/>
    </w:pPr>
  </w:style>
  <w:style w:type="paragraph" w:styleId="Header">
    <w:name w:val="header"/>
    <w:basedOn w:val="Normal"/>
    <w:link w:val="HeaderChar"/>
    <w:uiPriority w:val="99"/>
    <w:unhideWhenUsed/>
    <w:rsid w:val="00ED1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E8"/>
  </w:style>
  <w:style w:type="paragraph" w:styleId="Footer">
    <w:name w:val="footer"/>
    <w:basedOn w:val="Normal"/>
    <w:link w:val="FooterChar"/>
    <w:uiPriority w:val="99"/>
    <w:unhideWhenUsed/>
    <w:rsid w:val="00ED1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2130">
      <w:bodyDiv w:val="1"/>
      <w:marLeft w:val="0"/>
      <w:marRight w:val="0"/>
      <w:marTop w:val="0"/>
      <w:marBottom w:val="0"/>
      <w:divBdr>
        <w:top w:val="none" w:sz="0" w:space="0" w:color="auto"/>
        <w:left w:val="none" w:sz="0" w:space="0" w:color="auto"/>
        <w:bottom w:val="none" w:sz="0" w:space="0" w:color="auto"/>
        <w:right w:val="none" w:sz="0" w:space="0" w:color="auto"/>
      </w:divBdr>
      <w:divsChild>
        <w:div w:id="2143190502">
          <w:marLeft w:val="0"/>
          <w:marRight w:val="0"/>
          <w:marTop w:val="0"/>
          <w:marBottom w:val="0"/>
          <w:divBdr>
            <w:top w:val="none" w:sz="0" w:space="0" w:color="auto"/>
            <w:left w:val="none" w:sz="0" w:space="0" w:color="auto"/>
            <w:bottom w:val="none" w:sz="0" w:space="0" w:color="auto"/>
            <w:right w:val="none" w:sz="0" w:space="0" w:color="auto"/>
          </w:divBdr>
          <w:divsChild>
            <w:div w:id="1543253716">
              <w:marLeft w:val="0"/>
              <w:marRight w:val="0"/>
              <w:marTop w:val="0"/>
              <w:marBottom w:val="0"/>
              <w:divBdr>
                <w:top w:val="none" w:sz="0" w:space="0" w:color="auto"/>
                <w:left w:val="none" w:sz="0" w:space="0" w:color="auto"/>
                <w:bottom w:val="none" w:sz="0" w:space="0" w:color="auto"/>
                <w:right w:val="none" w:sz="0" w:space="0" w:color="auto"/>
              </w:divBdr>
              <w:divsChild>
                <w:div w:id="1959796644">
                  <w:marLeft w:val="0"/>
                  <w:marRight w:val="0"/>
                  <w:marTop w:val="0"/>
                  <w:marBottom w:val="0"/>
                  <w:divBdr>
                    <w:top w:val="none" w:sz="0" w:space="0" w:color="auto"/>
                    <w:left w:val="none" w:sz="0" w:space="0" w:color="auto"/>
                    <w:bottom w:val="none" w:sz="0" w:space="0" w:color="auto"/>
                    <w:right w:val="none" w:sz="0" w:space="0" w:color="auto"/>
                  </w:divBdr>
                  <w:divsChild>
                    <w:div w:id="700282568">
                      <w:marLeft w:val="45"/>
                      <w:marRight w:val="45"/>
                      <w:marTop w:val="120"/>
                      <w:marBottom w:val="45"/>
                      <w:divBdr>
                        <w:top w:val="none" w:sz="0" w:space="0" w:color="auto"/>
                        <w:left w:val="none" w:sz="0" w:space="0" w:color="auto"/>
                        <w:bottom w:val="none" w:sz="0" w:space="0" w:color="auto"/>
                        <w:right w:val="none" w:sz="0" w:space="0" w:color="auto"/>
                      </w:divBdr>
                      <w:divsChild>
                        <w:div w:id="1344556198">
                          <w:marLeft w:val="0"/>
                          <w:marRight w:val="0"/>
                          <w:marTop w:val="0"/>
                          <w:marBottom w:val="0"/>
                          <w:divBdr>
                            <w:top w:val="none" w:sz="0" w:space="0" w:color="auto"/>
                            <w:left w:val="none" w:sz="0" w:space="0" w:color="auto"/>
                            <w:bottom w:val="none" w:sz="0" w:space="0" w:color="auto"/>
                            <w:right w:val="none" w:sz="0" w:space="0" w:color="auto"/>
                          </w:divBdr>
                          <w:divsChild>
                            <w:div w:id="2068020355">
                              <w:marLeft w:val="0"/>
                              <w:marRight w:val="0"/>
                              <w:marTop w:val="0"/>
                              <w:marBottom w:val="0"/>
                              <w:divBdr>
                                <w:top w:val="none" w:sz="0" w:space="0" w:color="auto"/>
                                <w:left w:val="none" w:sz="0" w:space="0" w:color="auto"/>
                                <w:bottom w:val="none" w:sz="0" w:space="0" w:color="auto"/>
                                <w:right w:val="none" w:sz="0" w:space="0" w:color="auto"/>
                              </w:divBdr>
                              <w:divsChild>
                                <w:div w:id="1243179467">
                                  <w:marLeft w:val="120"/>
                                  <w:marRight w:val="120"/>
                                  <w:marTop w:val="180"/>
                                  <w:marBottom w:val="180"/>
                                  <w:divBdr>
                                    <w:top w:val="single" w:sz="6" w:space="6" w:color="4A581D"/>
                                    <w:left w:val="single" w:sz="6" w:space="6" w:color="4A581D"/>
                                    <w:bottom w:val="single" w:sz="6" w:space="6" w:color="4A581D"/>
                                    <w:right w:val="single" w:sz="6" w:space="6" w:color="4A581D"/>
                                  </w:divBdr>
                                </w:div>
                              </w:divsChild>
                            </w:div>
                          </w:divsChild>
                        </w:div>
                      </w:divsChild>
                    </w:div>
                  </w:divsChild>
                </w:div>
              </w:divsChild>
            </w:div>
          </w:divsChild>
        </w:div>
      </w:divsChild>
    </w:div>
    <w:div w:id="415371631">
      <w:bodyDiv w:val="1"/>
      <w:marLeft w:val="0"/>
      <w:marRight w:val="0"/>
      <w:marTop w:val="0"/>
      <w:marBottom w:val="0"/>
      <w:divBdr>
        <w:top w:val="none" w:sz="0" w:space="0" w:color="auto"/>
        <w:left w:val="none" w:sz="0" w:space="0" w:color="auto"/>
        <w:bottom w:val="none" w:sz="0" w:space="0" w:color="auto"/>
        <w:right w:val="none" w:sz="0" w:space="0" w:color="auto"/>
      </w:divBdr>
      <w:divsChild>
        <w:div w:id="322398840">
          <w:marLeft w:val="0"/>
          <w:marRight w:val="0"/>
          <w:marTop w:val="0"/>
          <w:marBottom w:val="0"/>
          <w:divBdr>
            <w:top w:val="none" w:sz="0" w:space="0" w:color="auto"/>
            <w:left w:val="none" w:sz="0" w:space="0" w:color="auto"/>
            <w:bottom w:val="none" w:sz="0" w:space="0" w:color="auto"/>
            <w:right w:val="none" w:sz="0" w:space="0" w:color="auto"/>
          </w:divBdr>
          <w:divsChild>
            <w:div w:id="730347034">
              <w:marLeft w:val="0"/>
              <w:marRight w:val="0"/>
              <w:marTop w:val="0"/>
              <w:marBottom w:val="0"/>
              <w:divBdr>
                <w:top w:val="none" w:sz="0" w:space="0" w:color="auto"/>
                <w:left w:val="none" w:sz="0" w:space="0" w:color="auto"/>
                <w:bottom w:val="none" w:sz="0" w:space="0" w:color="auto"/>
                <w:right w:val="none" w:sz="0" w:space="0" w:color="auto"/>
              </w:divBdr>
              <w:divsChild>
                <w:div w:id="916862200">
                  <w:marLeft w:val="0"/>
                  <w:marRight w:val="0"/>
                  <w:marTop w:val="0"/>
                  <w:marBottom w:val="0"/>
                  <w:divBdr>
                    <w:top w:val="none" w:sz="0" w:space="0" w:color="auto"/>
                    <w:left w:val="none" w:sz="0" w:space="0" w:color="auto"/>
                    <w:bottom w:val="none" w:sz="0" w:space="0" w:color="auto"/>
                    <w:right w:val="none" w:sz="0" w:space="0" w:color="auto"/>
                  </w:divBdr>
                  <w:divsChild>
                    <w:div w:id="661473847">
                      <w:marLeft w:val="45"/>
                      <w:marRight w:val="45"/>
                      <w:marTop w:val="120"/>
                      <w:marBottom w:val="45"/>
                      <w:divBdr>
                        <w:top w:val="none" w:sz="0" w:space="0" w:color="auto"/>
                        <w:left w:val="none" w:sz="0" w:space="0" w:color="auto"/>
                        <w:bottom w:val="none" w:sz="0" w:space="0" w:color="auto"/>
                        <w:right w:val="none" w:sz="0" w:space="0" w:color="auto"/>
                      </w:divBdr>
                      <w:divsChild>
                        <w:div w:id="1446074043">
                          <w:marLeft w:val="480"/>
                          <w:marRight w:val="0"/>
                          <w:marTop w:val="0"/>
                          <w:marBottom w:val="0"/>
                          <w:divBdr>
                            <w:top w:val="none" w:sz="0" w:space="0" w:color="auto"/>
                            <w:left w:val="none" w:sz="0" w:space="0" w:color="auto"/>
                            <w:bottom w:val="none" w:sz="0" w:space="0" w:color="auto"/>
                            <w:right w:val="none" w:sz="0" w:space="0" w:color="auto"/>
                          </w:divBdr>
                        </w:div>
                        <w:div w:id="412747571">
                          <w:marLeft w:val="480"/>
                          <w:marRight w:val="0"/>
                          <w:marTop w:val="0"/>
                          <w:marBottom w:val="0"/>
                          <w:divBdr>
                            <w:top w:val="none" w:sz="0" w:space="0" w:color="auto"/>
                            <w:left w:val="none" w:sz="0" w:space="0" w:color="auto"/>
                            <w:bottom w:val="none" w:sz="0" w:space="0" w:color="auto"/>
                            <w:right w:val="none" w:sz="0" w:space="0" w:color="auto"/>
                          </w:divBdr>
                        </w:div>
                        <w:div w:id="17437226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41330">
      <w:bodyDiv w:val="1"/>
      <w:marLeft w:val="0"/>
      <w:marRight w:val="0"/>
      <w:marTop w:val="0"/>
      <w:marBottom w:val="0"/>
      <w:divBdr>
        <w:top w:val="none" w:sz="0" w:space="0" w:color="auto"/>
        <w:left w:val="none" w:sz="0" w:space="0" w:color="auto"/>
        <w:bottom w:val="none" w:sz="0" w:space="0" w:color="auto"/>
        <w:right w:val="none" w:sz="0" w:space="0" w:color="auto"/>
      </w:divBdr>
      <w:divsChild>
        <w:div w:id="655495093">
          <w:marLeft w:val="0"/>
          <w:marRight w:val="0"/>
          <w:marTop w:val="0"/>
          <w:marBottom w:val="0"/>
          <w:divBdr>
            <w:top w:val="none" w:sz="0" w:space="0" w:color="auto"/>
            <w:left w:val="none" w:sz="0" w:space="0" w:color="auto"/>
            <w:bottom w:val="none" w:sz="0" w:space="0" w:color="auto"/>
            <w:right w:val="none" w:sz="0" w:space="0" w:color="auto"/>
          </w:divBdr>
          <w:divsChild>
            <w:div w:id="1091047790">
              <w:marLeft w:val="0"/>
              <w:marRight w:val="0"/>
              <w:marTop w:val="0"/>
              <w:marBottom w:val="0"/>
              <w:divBdr>
                <w:top w:val="none" w:sz="0" w:space="0" w:color="auto"/>
                <w:left w:val="none" w:sz="0" w:space="0" w:color="auto"/>
                <w:bottom w:val="none" w:sz="0" w:space="0" w:color="auto"/>
                <w:right w:val="none" w:sz="0" w:space="0" w:color="auto"/>
              </w:divBdr>
              <w:divsChild>
                <w:div w:id="30344985">
                  <w:marLeft w:val="0"/>
                  <w:marRight w:val="0"/>
                  <w:marTop w:val="100"/>
                  <w:marBottom w:val="100"/>
                  <w:divBdr>
                    <w:top w:val="none" w:sz="0" w:space="0" w:color="auto"/>
                    <w:left w:val="none" w:sz="0" w:space="0" w:color="auto"/>
                    <w:bottom w:val="none" w:sz="0" w:space="0" w:color="auto"/>
                    <w:right w:val="none" w:sz="0" w:space="0" w:color="auto"/>
                  </w:divBdr>
                  <w:divsChild>
                    <w:div w:id="1168207186">
                      <w:marLeft w:val="0"/>
                      <w:marRight w:val="0"/>
                      <w:marTop w:val="100"/>
                      <w:marBottom w:val="100"/>
                      <w:divBdr>
                        <w:top w:val="none" w:sz="0" w:space="0" w:color="auto"/>
                        <w:left w:val="none" w:sz="0" w:space="0" w:color="auto"/>
                        <w:bottom w:val="none" w:sz="0" w:space="0" w:color="auto"/>
                        <w:right w:val="none" w:sz="0" w:space="0" w:color="auto"/>
                      </w:divBdr>
                      <w:divsChild>
                        <w:div w:id="2014337392">
                          <w:marLeft w:val="240"/>
                          <w:marRight w:val="240"/>
                          <w:marTop w:val="0"/>
                          <w:marBottom w:val="0"/>
                          <w:divBdr>
                            <w:top w:val="none" w:sz="0" w:space="0" w:color="auto"/>
                            <w:left w:val="none" w:sz="0" w:space="0" w:color="auto"/>
                            <w:bottom w:val="none" w:sz="0" w:space="0" w:color="auto"/>
                            <w:right w:val="none" w:sz="0" w:space="0" w:color="auto"/>
                          </w:divBdr>
                          <w:divsChild>
                            <w:div w:id="35700640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95388">
      <w:bodyDiv w:val="1"/>
      <w:marLeft w:val="0"/>
      <w:marRight w:val="0"/>
      <w:marTop w:val="0"/>
      <w:marBottom w:val="0"/>
      <w:divBdr>
        <w:top w:val="none" w:sz="0" w:space="0" w:color="auto"/>
        <w:left w:val="none" w:sz="0" w:space="0" w:color="auto"/>
        <w:bottom w:val="none" w:sz="0" w:space="0" w:color="auto"/>
        <w:right w:val="none" w:sz="0" w:space="0" w:color="auto"/>
      </w:divBdr>
      <w:divsChild>
        <w:div w:id="902331419">
          <w:marLeft w:val="0"/>
          <w:marRight w:val="0"/>
          <w:marTop w:val="0"/>
          <w:marBottom w:val="0"/>
          <w:divBdr>
            <w:top w:val="none" w:sz="0" w:space="0" w:color="auto"/>
            <w:left w:val="none" w:sz="0" w:space="0" w:color="auto"/>
            <w:bottom w:val="none" w:sz="0" w:space="0" w:color="auto"/>
            <w:right w:val="none" w:sz="0" w:space="0" w:color="auto"/>
          </w:divBdr>
          <w:divsChild>
            <w:div w:id="419644472">
              <w:marLeft w:val="0"/>
              <w:marRight w:val="0"/>
              <w:marTop w:val="0"/>
              <w:marBottom w:val="0"/>
              <w:divBdr>
                <w:top w:val="none" w:sz="0" w:space="0" w:color="auto"/>
                <w:left w:val="none" w:sz="0" w:space="0" w:color="auto"/>
                <w:bottom w:val="none" w:sz="0" w:space="0" w:color="auto"/>
                <w:right w:val="none" w:sz="0" w:space="0" w:color="auto"/>
              </w:divBdr>
              <w:divsChild>
                <w:div w:id="777992507">
                  <w:marLeft w:val="0"/>
                  <w:marRight w:val="0"/>
                  <w:marTop w:val="0"/>
                  <w:marBottom w:val="0"/>
                  <w:divBdr>
                    <w:top w:val="none" w:sz="0" w:space="0" w:color="auto"/>
                    <w:left w:val="none" w:sz="0" w:space="0" w:color="auto"/>
                    <w:bottom w:val="none" w:sz="0" w:space="0" w:color="auto"/>
                    <w:right w:val="none" w:sz="0" w:space="0" w:color="auto"/>
                  </w:divBdr>
                  <w:divsChild>
                    <w:div w:id="1082488738">
                      <w:marLeft w:val="0"/>
                      <w:marRight w:val="0"/>
                      <w:marTop w:val="0"/>
                      <w:marBottom w:val="0"/>
                      <w:divBdr>
                        <w:top w:val="none" w:sz="0" w:space="0" w:color="auto"/>
                        <w:left w:val="none" w:sz="0" w:space="0" w:color="auto"/>
                        <w:bottom w:val="none" w:sz="0" w:space="0" w:color="auto"/>
                        <w:right w:val="none" w:sz="0" w:space="0" w:color="auto"/>
                      </w:divBdr>
                      <w:divsChild>
                        <w:div w:id="402264704">
                          <w:marLeft w:val="0"/>
                          <w:marRight w:val="0"/>
                          <w:marTop w:val="0"/>
                          <w:marBottom w:val="0"/>
                          <w:divBdr>
                            <w:top w:val="none" w:sz="0" w:space="0" w:color="auto"/>
                            <w:left w:val="none" w:sz="0" w:space="0" w:color="auto"/>
                            <w:bottom w:val="none" w:sz="0" w:space="0" w:color="auto"/>
                            <w:right w:val="none" w:sz="0" w:space="0" w:color="auto"/>
                          </w:divBdr>
                          <w:divsChild>
                            <w:div w:id="1458916221">
                              <w:marLeft w:val="-225"/>
                              <w:marRight w:val="-225"/>
                              <w:marTop w:val="0"/>
                              <w:marBottom w:val="0"/>
                              <w:divBdr>
                                <w:top w:val="none" w:sz="0" w:space="0" w:color="auto"/>
                                <w:left w:val="none" w:sz="0" w:space="0" w:color="auto"/>
                                <w:bottom w:val="none" w:sz="0" w:space="0" w:color="auto"/>
                                <w:right w:val="none" w:sz="0" w:space="0" w:color="auto"/>
                              </w:divBdr>
                              <w:divsChild>
                                <w:div w:id="18160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308151">
      <w:bodyDiv w:val="1"/>
      <w:marLeft w:val="0"/>
      <w:marRight w:val="0"/>
      <w:marTop w:val="0"/>
      <w:marBottom w:val="0"/>
      <w:divBdr>
        <w:top w:val="none" w:sz="0" w:space="0" w:color="auto"/>
        <w:left w:val="none" w:sz="0" w:space="0" w:color="auto"/>
        <w:bottom w:val="none" w:sz="0" w:space="0" w:color="auto"/>
        <w:right w:val="none" w:sz="0" w:space="0" w:color="auto"/>
      </w:divBdr>
      <w:divsChild>
        <w:div w:id="635909839">
          <w:marLeft w:val="0"/>
          <w:marRight w:val="0"/>
          <w:marTop w:val="0"/>
          <w:marBottom w:val="0"/>
          <w:divBdr>
            <w:top w:val="none" w:sz="0" w:space="0" w:color="auto"/>
            <w:left w:val="none" w:sz="0" w:space="0" w:color="auto"/>
            <w:bottom w:val="none" w:sz="0" w:space="0" w:color="auto"/>
            <w:right w:val="none" w:sz="0" w:space="0" w:color="auto"/>
          </w:divBdr>
          <w:divsChild>
            <w:div w:id="822895030">
              <w:marLeft w:val="0"/>
              <w:marRight w:val="0"/>
              <w:marTop w:val="0"/>
              <w:marBottom w:val="0"/>
              <w:divBdr>
                <w:top w:val="none" w:sz="0" w:space="0" w:color="auto"/>
                <w:left w:val="none" w:sz="0" w:space="0" w:color="auto"/>
                <w:bottom w:val="none" w:sz="0" w:space="0" w:color="auto"/>
                <w:right w:val="none" w:sz="0" w:space="0" w:color="auto"/>
              </w:divBdr>
              <w:divsChild>
                <w:div w:id="859709373">
                  <w:marLeft w:val="0"/>
                  <w:marRight w:val="0"/>
                  <w:marTop w:val="0"/>
                  <w:marBottom w:val="0"/>
                  <w:divBdr>
                    <w:top w:val="none" w:sz="0" w:space="0" w:color="auto"/>
                    <w:left w:val="none" w:sz="0" w:space="0" w:color="auto"/>
                    <w:bottom w:val="none" w:sz="0" w:space="0" w:color="auto"/>
                    <w:right w:val="none" w:sz="0" w:space="0" w:color="auto"/>
                  </w:divBdr>
                  <w:divsChild>
                    <w:div w:id="1416822972">
                      <w:marLeft w:val="0"/>
                      <w:marRight w:val="0"/>
                      <w:marTop w:val="0"/>
                      <w:marBottom w:val="0"/>
                      <w:divBdr>
                        <w:top w:val="none" w:sz="0" w:space="0" w:color="auto"/>
                        <w:left w:val="none" w:sz="0" w:space="0" w:color="auto"/>
                        <w:bottom w:val="none" w:sz="0" w:space="0" w:color="auto"/>
                        <w:right w:val="none" w:sz="0" w:space="0" w:color="auto"/>
                      </w:divBdr>
                      <w:divsChild>
                        <w:div w:id="407390185">
                          <w:marLeft w:val="0"/>
                          <w:marRight w:val="0"/>
                          <w:marTop w:val="0"/>
                          <w:marBottom w:val="0"/>
                          <w:divBdr>
                            <w:top w:val="none" w:sz="0" w:space="0" w:color="auto"/>
                            <w:left w:val="none" w:sz="0" w:space="0" w:color="auto"/>
                            <w:bottom w:val="none" w:sz="0" w:space="0" w:color="auto"/>
                            <w:right w:val="none" w:sz="0" w:space="0" w:color="auto"/>
                          </w:divBdr>
                          <w:divsChild>
                            <w:div w:id="1577592708">
                              <w:marLeft w:val="-225"/>
                              <w:marRight w:val="-225"/>
                              <w:marTop w:val="0"/>
                              <w:marBottom w:val="0"/>
                              <w:divBdr>
                                <w:top w:val="none" w:sz="0" w:space="0" w:color="auto"/>
                                <w:left w:val="none" w:sz="0" w:space="0" w:color="auto"/>
                                <w:bottom w:val="none" w:sz="0" w:space="0" w:color="auto"/>
                                <w:right w:val="none" w:sz="0" w:space="0" w:color="auto"/>
                              </w:divBdr>
                              <w:divsChild>
                                <w:div w:id="1051802600">
                                  <w:marLeft w:val="0"/>
                                  <w:marRight w:val="0"/>
                                  <w:marTop w:val="0"/>
                                  <w:marBottom w:val="0"/>
                                  <w:divBdr>
                                    <w:top w:val="none" w:sz="0" w:space="0" w:color="auto"/>
                                    <w:left w:val="none" w:sz="0" w:space="0" w:color="auto"/>
                                    <w:bottom w:val="none" w:sz="0" w:space="0" w:color="auto"/>
                                    <w:right w:val="none" w:sz="0" w:space="0" w:color="auto"/>
                                  </w:divBdr>
                                  <w:divsChild>
                                    <w:div w:id="1281886160">
                                      <w:marLeft w:val="0"/>
                                      <w:marRight w:val="0"/>
                                      <w:marTop w:val="0"/>
                                      <w:marBottom w:val="0"/>
                                      <w:divBdr>
                                        <w:top w:val="none" w:sz="0" w:space="0" w:color="auto"/>
                                        <w:left w:val="none" w:sz="0" w:space="0" w:color="auto"/>
                                        <w:bottom w:val="none" w:sz="0" w:space="0" w:color="auto"/>
                                        <w:right w:val="none" w:sz="0" w:space="0" w:color="auto"/>
                                      </w:divBdr>
                                      <w:divsChild>
                                        <w:div w:id="1344699191">
                                          <w:marLeft w:val="480"/>
                                          <w:marRight w:val="0"/>
                                          <w:marTop w:val="0"/>
                                          <w:marBottom w:val="0"/>
                                          <w:divBdr>
                                            <w:top w:val="none" w:sz="0" w:space="0" w:color="auto"/>
                                            <w:left w:val="none" w:sz="0" w:space="0" w:color="auto"/>
                                            <w:bottom w:val="none" w:sz="0" w:space="0" w:color="auto"/>
                                            <w:right w:val="none" w:sz="0" w:space="0" w:color="auto"/>
                                          </w:divBdr>
                                        </w:div>
                                        <w:div w:id="1985349186">
                                          <w:marLeft w:val="480"/>
                                          <w:marRight w:val="0"/>
                                          <w:marTop w:val="0"/>
                                          <w:marBottom w:val="0"/>
                                          <w:divBdr>
                                            <w:top w:val="none" w:sz="0" w:space="0" w:color="auto"/>
                                            <w:left w:val="none" w:sz="0" w:space="0" w:color="auto"/>
                                            <w:bottom w:val="none" w:sz="0" w:space="0" w:color="auto"/>
                                            <w:right w:val="none" w:sz="0" w:space="0" w:color="auto"/>
                                          </w:divBdr>
                                        </w:div>
                                        <w:div w:id="3262540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549012">
      <w:bodyDiv w:val="1"/>
      <w:marLeft w:val="0"/>
      <w:marRight w:val="0"/>
      <w:marTop w:val="0"/>
      <w:marBottom w:val="0"/>
      <w:divBdr>
        <w:top w:val="none" w:sz="0" w:space="0" w:color="auto"/>
        <w:left w:val="none" w:sz="0" w:space="0" w:color="auto"/>
        <w:bottom w:val="none" w:sz="0" w:space="0" w:color="auto"/>
        <w:right w:val="none" w:sz="0" w:space="0" w:color="auto"/>
      </w:divBdr>
      <w:divsChild>
        <w:div w:id="134563530">
          <w:marLeft w:val="0"/>
          <w:marRight w:val="0"/>
          <w:marTop w:val="0"/>
          <w:marBottom w:val="0"/>
          <w:divBdr>
            <w:top w:val="none" w:sz="0" w:space="0" w:color="auto"/>
            <w:left w:val="none" w:sz="0" w:space="0" w:color="auto"/>
            <w:bottom w:val="none" w:sz="0" w:space="0" w:color="auto"/>
            <w:right w:val="none" w:sz="0" w:space="0" w:color="auto"/>
          </w:divBdr>
          <w:divsChild>
            <w:div w:id="344669175">
              <w:marLeft w:val="0"/>
              <w:marRight w:val="0"/>
              <w:marTop w:val="0"/>
              <w:marBottom w:val="0"/>
              <w:divBdr>
                <w:top w:val="none" w:sz="0" w:space="0" w:color="auto"/>
                <w:left w:val="none" w:sz="0" w:space="0" w:color="auto"/>
                <w:bottom w:val="none" w:sz="0" w:space="0" w:color="auto"/>
                <w:right w:val="none" w:sz="0" w:space="0" w:color="auto"/>
              </w:divBdr>
              <w:divsChild>
                <w:div w:id="1240016472">
                  <w:marLeft w:val="0"/>
                  <w:marRight w:val="0"/>
                  <w:marTop w:val="0"/>
                  <w:marBottom w:val="0"/>
                  <w:divBdr>
                    <w:top w:val="none" w:sz="0" w:space="0" w:color="auto"/>
                    <w:left w:val="none" w:sz="0" w:space="0" w:color="auto"/>
                    <w:bottom w:val="none" w:sz="0" w:space="0" w:color="auto"/>
                    <w:right w:val="none" w:sz="0" w:space="0" w:color="auto"/>
                  </w:divBdr>
                  <w:divsChild>
                    <w:div w:id="1041516524">
                      <w:marLeft w:val="45"/>
                      <w:marRight w:val="45"/>
                      <w:marTop w:val="120"/>
                      <w:marBottom w:val="45"/>
                      <w:divBdr>
                        <w:top w:val="none" w:sz="0" w:space="0" w:color="auto"/>
                        <w:left w:val="none" w:sz="0" w:space="0" w:color="auto"/>
                        <w:bottom w:val="none" w:sz="0" w:space="0" w:color="auto"/>
                        <w:right w:val="none" w:sz="0" w:space="0" w:color="auto"/>
                      </w:divBdr>
                      <w:divsChild>
                        <w:div w:id="15332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telliott</dc:creator>
  <cp:keywords/>
  <dc:description/>
  <cp:lastModifiedBy>clerk</cp:lastModifiedBy>
  <cp:revision>50</cp:revision>
  <dcterms:created xsi:type="dcterms:W3CDTF">2014-01-12T18:33:00Z</dcterms:created>
  <dcterms:modified xsi:type="dcterms:W3CDTF">2017-02-02T19:38:00Z</dcterms:modified>
</cp:coreProperties>
</file>